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D1C3B" w14:textId="77777777" w:rsidR="006E2EA2" w:rsidRPr="008F026B" w:rsidRDefault="006E2EA2" w:rsidP="008F026B">
      <w:pPr>
        <w:spacing w:line="480" w:lineRule="auto"/>
      </w:pPr>
      <w:bookmarkStart w:id="0" w:name="_GoBack"/>
      <w:bookmarkEnd w:id="0"/>
    </w:p>
    <w:p w14:paraId="7880C6B7" w14:textId="77777777" w:rsidR="006E2EA2" w:rsidRPr="008F026B" w:rsidRDefault="006E2EA2" w:rsidP="008F026B">
      <w:pPr>
        <w:spacing w:line="480" w:lineRule="auto"/>
      </w:pPr>
    </w:p>
    <w:p w14:paraId="7F545F06" w14:textId="77777777" w:rsidR="006E2EA2" w:rsidRPr="008F026B" w:rsidRDefault="006E2EA2" w:rsidP="008F026B">
      <w:pPr>
        <w:spacing w:line="480" w:lineRule="auto"/>
      </w:pPr>
    </w:p>
    <w:p w14:paraId="62CE75D1" w14:textId="77777777" w:rsidR="006E2EA2" w:rsidRPr="008F026B" w:rsidRDefault="006E2EA2" w:rsidP="008F026B">
      <w:pPr>
        <w:spacing w:line="480" w:lineRule="auto"/>
      </w:pPr>
    </w:p>
    <w:p w14:paraId="258AD0E2" w14:textId="77777777" w:rsidR="006E2EA2" w:rsidRPr="008F026B" w:rsidRDefault="006E2EA2" w:rsidP="008F026B">
      <w:pPr>
        <w:spacing w:line="480" w:lineRule="auto"/>
      </w:pPr>
    </w:p>
    <w:p w14:paraId="597C2E8A" w14:textId="77777777" w:rsidR="006E2EA2" w:rsidRPr="008F026B" w:rsidRDefault="006E2EA2" w:rsidP="008F026B">
      <w:pPr>
        <w:spacing w:line="480" w:lineRule="auto"/>
      </w:pPr>
    </w:p>
    <w:p w14:paraId="0C124611" w14:textId="77777777" w:rsidR="007838B8" w:rsidRPr="008F026B" w:rsidRDefault="007838B8" w:rsidP="008F026B">
      <w:pPr>
        <w:spacing w:line="480" w:lineRule="auto"/>
      </w:pPr>
    </w:p>
    <w:p w14:paraId="3416BD2A" w14:textId="77777777" w:rsidR="006E2EA2" w:rsidRPr="008F026B" w:rsidRDefault="006E2EA2" w:rsidP="008F026B">
      <w:pPr>
        <w:spacing w:line="480" w:lineRule="auto"/>
      </w:pPr>
    </w:p>
    <w:p w14:paraId="6763B691" w14:textId="77777777" w:rsidR="006E2EA2" w:rsidRPr="008F026B" w:rsidRDefault="006E2EA2" w:rsidP="008F026B">
      <w:pPr>
        <w:spacing w:line="480" w:lineRule="auto"/>
      </w:pPr>
    </w:p>
    <w:p w14:paraId="1E89EECD" w14:textId="77777777" w:rsidR="00054B18" w:rsidRDefault="00054B18" w:rsidP="008F026B">
      <w:pPr>
        <w:tabs>
          <w:tab w:val="left" w:pos="4136"/>
        </w:tabs>
        <w:spacing w:line="480" w:lineRule="auto"/>
        <w:jc w:val="center"/>
      </w:pPr>
      <w:r w:rsidRPr="00054B18">
        <w:t>A critical analysis of a visual resource</w:t>
      </w:r>
      <w:r w:rsidRPr="00054B18">
        <w:t xml:space="preserve"> </w:t>
      </w:r>
    </w:p>
    <w:p w14:paraId="31A2F1D6" w14:textId="045A7D6A" w:rsidR="005B02B5" w:rsidRPr="008F026B" w:rsidRDefault="00B10C88" w:rsidP="008F026B">
      <w:pPr>
        <w:tabs>
          <w:tab w:val="left" w:pos="4136"/>
        </w:tabs>
        <w:spacing w:line="480" w:lineRule="auto"/>
        <w:jc w:val="center"/>
      </w:pPr>
      <w:r>
        <w:t>Name of Student</w:t>
      </w:r>
    </w:p>
    <w:p w14:paraId="53246A7E" w14:textId="77777777" w:rsidR="006E2EA2" w:rsidRPr="008F026B" w:rsidRDefault="00AF34E9" w:rsidP="008F026B">
      <w:pPr>
        <w:tabs>
          <w:tab w:val="left" w:pos="4136"/>
        </w:tabs>
        <w:spacing w:line="480" w:lineRule="auto"/>
        <w:jc w:val="center"/>
      </w:pPr>
      <w:r w:rsidRPr="008F026B">
        <w:t>[Name of the Institution]</w:t>
      </w:r>
    </w:p>
    <w:p w14:paraId="3716561D" w14:textId="27007210" w:rsidR="000F759D" w:rsidRPr="008F026B" w:rsidRDefault="00AF34E9" w:rsidP="008F026B">
      <w:pPr>
        <w:pStyle w:val="Title"/>
      </w:pPr>
      <w:r w:rsidRPr="008F026B">
        <w:br w:type="page"/>
      </w:r>
      <w:bookmarkStart w:id="1" w:name="_Hlk228473685"/>
      <w:r w:rsidR="00054B18" w:rsidRPr="00054B18">
        <w:lastRenderedPageBreak/>
        <w:t xml:space="preserve"> </w:t>
      </w:r>
      <w:r w:rsidR="00054B18" w:rsidRPr="00054B18">
        <w:t>A critical analysis of a visual resource</w:t>
      </w:r>
      <w:bookmarkEnd w:id="1"/>
    </w:p>
    <w:p w14:paraId="6EF2776A" w14:textId="77777777" w:rsidR="009E40B5" w:rsidRPr="008F026B" w:rsidRDefault="009E40B5" w:rsidP="008F026B">
      <w:pPr>
        <w:spacing w:line="480" w:lineRule="auto"/>
      </w:pPr>
    </w:p>
    <w:p w14:paraId="66DC1863" w14:textId="77777777" w:rsidR="003960FC" w:rsidRPr="008F026B" w:rsidRDefault="00AF34E9" w:rsidP="008F026B">
      <w:pPr>
        <w:pStyle w:val="Heading1"/>
      </w:pPr>
      <w:r w:rsidRPr="008F026B">
        <w:t>Introduction</w:t>
      </w:r>
    </w:p>
    <w:p w14:paraId="06060396" w14:textId="77777777" w:rsidR="00832272" w:rsidRPr="00832272" w:rsidRDefault="00832272" w:rsidP="00832272">
      <w:pPr>
        <w:spacing w:line="480" w:lineRule="auto"/>
        <w:ind w:firstLine="720"/>
        <w:rPr>
          <w:color w:val="000000" w:themeColor="text1"/>
        </w:rPr>
      </w:pPr>
      <w:r w:rsidRPr="00832272">
        <w:rPr>
          <w:color w:val="000000" w:themeColor="text1"/>
        </w:rPr>
        <w:t xml:space="preserve">Critical thinking has become an essential skill in the modern classroom. This essay offers a critique of a visual resource - a split-screen image of a dirty beach and a clean beach - as a critical thinking tool in a Year 2 Science lesson. The overarching topic is sustainability and environmental responsibility, which </w:t>
      </w:r>
      <w:proofErr w:type="spellStart"/>
      <w:r w:rsidRPr="00832272">
        <w:rPr>
          <w:color w:val="000000" w:themeColor="text1"/>
        </w:rPr>
        <w:t>emphasises</w:t>
      </w:r>
      <w:proofErr w:type="spellEnd"/>
      <w:r w:rsidRPr="00832272">
        <w:rPr>
          <w:color w:val="000000" w:themeColor="text1"/>
        </w:rPr>
        <w:t xml:space="preserve"> the effects of human activities on the environment. Through the use of talk-based pedagogy, this resource seeks to advance learning from a passive to an active form of inquiry, focusing on cause and effect, and ethical considerations. This critical analysis will look at the rationale behind using this image, the theoretical basis for visual and talk-based pedagogies, and the opportunities for early critical thinking in young children.</w:t>
      </w:r>
    </w:p>
    <w:p w14:paraId="2FC43310" w14:textId="77777777" w:rsidR="00832272" w:rsidRPr="00832272" w:rsidRDefault="00832272" w:rsidP="00832272">
      <w:pPr>
        <w:spacing w:line="480" w:lineRule="auto"/>
        <w:ind w:firstLine="720"/>
        <w:rPr>
          <w:color w:val="000000" w:themeColor="text1"/>
        </w:rPr>
      </w:pPr>
      <w:r w:rsidRPr="00832272">
        <w:rPr>
          <w:color w:val="000000" w:themeColor="text1"/>
        </w:rPr>
        <w:t>Rationale and Curriculum Links</w:t>
      </w:r>
    </w:p>
    <w:p w14:paraId="14E7AEAD" w14:textId="77777777" w:rsidR="00832272" w:rsidRPr="00832272" w:rsidRDefault="00832272" w:rsidP="00832272">
      <w:pPr>
        <w:spacing w:line="480" w:lineRule="auto"/>
        <w:ind w:firstLine="720"/>
        <w:rPr>
          <w:color w:val="000000" w:themeColor="text1"/>
        </w:rPr>
      </w:pPr>
      <w:r w:rsidRPr="00832272">
        <w:rPr>
          <w:color w:val="000000" w:themeColor="text1"/>
        </w:rPr>
        <w:t xml:space="preserve">The use of a "before and after" or "polluted vs. clean" beach image is carefully targeted at the Key Stage 1 (Year 2) Science curriculum in England. The Department for Education (DfE, 2015) states that children should be taught to </w:t>
      </w:r>
      <w:proofErr w:type="spellStart"/>
      <w:r w:rsidRPr="00832272">
        <w:rPr>
          <w:color w:val="000000" w:themeColor="text1"/>
        </w:rPr>
        <w:t>recognise</w:t>
      </w:r>
      <w:proofErr w:type="spellEnd"/>
      <w:r w:rsidRPr="00832272">
        <w:rPr>
          <w:color w:val="000000" w:themeColor="text1"/>
        </w:rPr>
        <w:t xml:space="preserve"> that most living things live in habitats to which they are adapted and explain how habitats provide for the basic needs of different kinds of animals and plants. The image presents a challenge to pupils to think about what happens when these needs are interfered with by humans.</w:t>
      </w:r>
    </w:p>
    <w:p w14:paraId="1724EFBA" w14:textId="77777777" w:rsidR="00832272" w:rsidRPr="00832272" w:rsidRDefault="00832272" w:rsidP="00832272">
      <w:pPr>
        <w:spacing w:line="480" w:lineRule="auto"/>
        <w:ind w:firstLine="720"/>
        <w:rPr>
          <w:color w:val="000000" w:themeColor="text1"/>
        </w:rPr>
      </w:pPr>
      <w:r w:rsidRPr="00832272">
        <w:rPr>
          <w:color w:val="000000" w:themeColor="text1"/>
        </w:rPr>
        <w:t xml:space="preserve">The reason for choosing this particular image is its "juxtaposition". The contrast between two realities - presented side-by-side - creates what Kress (2010) calls a multimodal tension. It does not merely convey information, but invites comparison. The juxtaposition of a "plastic" beach with a "clean" beach is accessible to a seven-year-old </w:t>
      </w:r>
      <w:r w:rsidRPr="00832272">
        <w:rPr>
          <w:color w:val="000000" w:themeColor="text1"/>
        </w:rPr>
        <w:lastRenderedPageBreak/>
        <w:t xml:space="preserve">child, but also intellectually challenging. It's a starting point for conversation about the topic of sustainability, which can often be abstract, but is made tangible by the image. The poster is designed to evoke an emotional response, or what </w:t>
      </w:r>
      <w:proofErr w:type="spellStart"/>
      <w:r w:rsidRPr="00832272">
        <w:rPr>
          <w:color w:val="000000" w:themeColor="text1"/>
        </w:rPr>
        <w:t>Boler</w:t>
      </w:r>
      <w:proofErr w:type="spellEnd"/>
      <w:r w:rsidRPr="00832272">
        <w:rPr>
          <w:color w:val="000000" w:themeColor="text1"/>
        </w:rPr>
        <w:t xml:space="preserve"> (1999) calls a "pedagogy of discomfort," as the children see the harm being done to </w:t>
      </w:r>
      <w:proofErr w:type="gramStart"/>
      <w:r w:rsidRPr="00832272">
        <w:rPr>
          <w:color w:val="000000" w:themeColor="text1"/>
        </w:rPr>
        <w:t>places</w:t>
      </w:r>
      <w:proofErr w:type="gramEnd"/>
      <w:r w:rsidRPr="00832272">
        <w:rPr>
          <w:color w:val="000000" w:themeColor="text1"/>
        </w:rPr>
        <w:t xml:space="preserve"> they inherently care about.</w:t>
      </w:r>
    </w:p>
    <w:p w14:paraId="7F0D73FB" w14:textId="77777777" w:rsidR="00832272" w:rsidRPr="00832272" w:rsidRDefault="00832272" w:rsidP="00832272">
      <w:pPr>
        <w:spacing w:line="480" w:lineRule="auto"/>
        <w:ind w:firstLine="720"/>
        <w:rPr>
          <w:color w:val="000000" w:themeColor="text1"/>
        </w:rPr>
      </w:pPr>
      <w:r w:rsidRPr="00832272">
        <w:rPr>
          <w:color w:val="000000" w:themeColor="text1"/>
        </w:rPr>
        <w:t>Visual Pedagogy and Critical Thinking</w:t>
      </w:r>
    </w:p>
    <w:p w14:paraId="422753FA" w14:textId="77777777" w:rsidR="00832272" w:rsidRPr="00832272" w:rsidRDefault="00832272" w:rsidP="00832272">
      <w:pPr>
        <w:spacing w:line="480" w:lineRule="auto"/>
        <w:ind w:firstLine="720"/>
        <w:rPr>
          <w:color w:val="000000" w:themeColor="text1"/>
        </w:rPr>
      </w:pPr>
      <w:r w:rsidRPr="00832272">
        <w:rPr>
          <w:color w:val="000000" w:themeColor="text1"/>
        </w:rPr>
        <w:t>Visual literacy is being able to "read" an image, interpreting the signs and meanings (Hall, 1997). Images are used as text illustrations in early years education. But the image needs to be read as a text in order to encourage critical thinking. Freedman (2003) claims that "visual culture" defines our identities and ideologies; thus, images such as these can "shake" people's ideologies about the environment.</w:t>
      </w:r>
    </w:p>
    <w:p w14:paraId="79CD77F5" w14:textId="77777777" w:rsidR="00832272" w:rsidRPr="00832272" w:rsidRDefault="00832272" w:rsidP="00832272">
      <w:pPr>
        <w:spacing w:line="480" w:lineRule="auto"/>
        <w:ind w:firstLine="720"/>
        <w:rPr>
          <w:color w:val="000000" w:themeColor="text1"/>
        </w:rPr>
      </w:pPr>
      <w:r w:rsidRPr="00832272">
        <w:rPr>
          <w:color w:val="000000" w:themeColor="text1"/>
        </w:rPr>
        <w:t>Year 2 students are not simply looking at litter on the beach, but being encouraged to read a story of negligence. At this age, critical thinking means questioning "what" to "why" and "how". The contrasting images involve basic cognitive activities:</w:t>
      </w:r>
    </w:p>
    <w:p w14:paraId="5A7FDF8C" w14:textId="77777777" w:rsidR="00832272" w:rsidRPr="00832272" w:rsidRDefault="00832272" w:rsidP="00832272">
      <w:pPr>
        <w:spacing w:line="480" w:lineRule="auto"/>
        <w:ind w:firstLine="720"/>
        <w:rPr>
          <w:color w:val="000000" w:themeColor="text1"/>
        </w:rPr>
      </w:pPr>
      <w:r w:rsidRPr="00832272">
        <w:rPr>
          <w:color w:val="000000" w:themeColor="text1"/>
        </w:rPr>
        <w:t xml:space="preserve">Observation: </w:t>
      </w:r>
      <w:proofErr w:type="spellStart"/>
      <w:r w:rsidRPr="00832272">
        <w:rPr>
          <w:color w:val="000000" w:themeColor="text1"/>
        </w:rPr>
        <w:t>Recognising</w:t>
      </w:r>
      <w:proofErr w:type="spellEnd"/>
      <w:r w:rsidRPr="00832272">
        <w:rPr>
          <w:color w:val="000000" w:themeColor="text1"/>
        </w:rPr>
        <w:t xml:space="preserve"> the types of rubbish (plastic bottles, fishing nets).</w:t>
      </w:r>
    </w:p>
    <w:p w14:paraId="76AFED46" w14:textId="77777777" w:rsidR="00832272" w:rsidRPr="00832272" w:rsidRDefault="00832272" w:rsidP="00832272">
      <w:pPr>
        <w:spacing w:line="480" w:lineRule="auto"/>
        <w:ind w:firstLine="720"/>
        <w:rPr>
          <w:color w:val="000000" w:themeColor="text1"/>
        </w:rPr>
      </w:pPr>
      <w:r w:rsidRPr="00832272">
        <w:rPr>
          <w:color w:val="000000" w:themeColor="text1"/>
        </w:rPr>
        <w:t xml:space="preserve">Comparison: </w:t>
      </w:r>
      <w:proofErr w:type="spellStart"/>
      <w:r w:rsidRPr="00832272">
        <w:rPr>
          <w:color w:val="000000" w:themeColor="text1"/>
        </w:rPr>
        <w:t>Recognising</w:t>
      </w:r>
      <w:proofErr w:type="spellEnd"/>
      <w:r w:rsidRPr="00832272">
        <w:rPr>
          <w:color w:val="000000" w:themeColor="text1"/>
        </w:rPr>
        <w:t xml:space="preserve"> differences in </w:t>
      </w:r>
      <w:proofErr w:type="spellStart"/>
      <w:r w:rsidRPr="00832272">
        <w:rPr>
          <w:color w:val="000000" w:themeColor="text1"/>
        </w:rPr>
        <w:t>colour</w:t>
      </w:r>
      <w:proofErr w:type="spellEnd"/>
      <w:r w:rsidRPr="00832272">
        <w:rPr>
          <w:color w:val="000000" w:themeColor="text1"/>
        </w:rPr>
        <w:t>, safety and habitability.</w:t>
      </w:r>
    </w:p>
    <w:p w14:paraId="562E9A74" w14:textId="77777777" w:rsidR="00832272" w:rsidRPr="00832272" w:rsidRDefault="00832272" w:rsidP="00832272">
      <w:pPr>
        <w:spacing w:line="480" w:lineRule="auto"/>
        <w:ind w:firstLine="720"/>
        <w:rPr>
          <w:color w:val="000000" w:themeColor="text1"/>
        </w:rPr>
      </w:pPr>
      <w:r w:rsidRPr="00832272">
        <w:rPr>
          <w:color w:val="000000" w:themeColor="text1"/>
        </w:rPr>
        <w:t>Inference: Indicating potential sources of the rubbish and its possible destinations.</w:t>
      </w:r>
    </w:p>
    <w:p w14:paraId="54E83014" w14:textId="77777777" w:rsidR="00832272" w:rsidRPr="00832272" w:rsidRDefault="00832272" w:rsidP="00832272">
      <w:pPr>
        <w:spacing w:line="480" w:lineRule="auto"/>
        <w:ind w:firstLine="720"/>
        <w:rPr>
          <w:color w:val="000000" w:themeColor="text1"/>
        </w:rPr>
      </w:pPr>
      <w:r w:rsidRPr="00832272">
        <w:rPr>
          <w:color w:val="000000" w:themeColor="text1"/>
        </w:rPr>
        <w:t>Talk-Based Pedagogy: From seeing to understanding</w:t>
      </w:r>
    </w:p>
    <w:p w14:paraId="6A89443B" w14:textId="77777777" w:rsidR="00832272" w:rsidRPr="00832272" w:rsidRDefault="00832272" w:rsidP="00832272">
      <w:pPr>
        <w:spacing w:line="480" w:lineRule="auto"/>
        <w:ind w:firstLine="720"/>
        <w:rPr>
          <w:color w:val="000000" w:themeColor="text1"/>
        </w:rPr>
      </w:pPr>
      <w:r w:rsidRPr="00832272">
        <w:rPr>
          <w:color w:val="000000" w:themeColor="text1"/>
        </w:rPr>
        <w:t>"Talk" helps the transition between viewing an image and critically thinking about it. Mercer (2000) suggests the importance of "exploratory talk" between partners in which they are critical but constructive of each other's thinking. In this lesson the image is the "third party" in a trialogue between the teacher, the student and the resource.</w:t>
      </w:r>
    </w:p>
    <w:p w14:paraId="2F0B8AE3" w14:textId="77777777" w:rsidR="00832272" w:rsidRPr="00832272" w:rsidRDefault="00832272" w:rsidP="00832272">
      <w:pPr>
        <w:spacing w:line="480" w:lineRule="auto"/>
        <w:ind w:firstLine="720"/>
        <w:rPr>
          <w:color w:val="000000" w:themeColor="text1"/>
        </w:rPr>
      </w:pPr>
      <w:r w:rsidRPr="00832272">
        <w:rPr>
          <w:color w:val="000000" w:themeColor="text1"/>
        </w:rPr>
        <w:t>The Role of Socratic Questioning</w:t>
      </w:r>
    </w:p>
    <w:p w14:paraId="68DBFF2E" w14:textId="77777777" w:rsidR="00832272" w:rsidRPr="00832272" w:rsidRDefault="00832272" w:rsidP="00832272">
      <w:pPr>
        <w:spacing w:line="480" w:lineRule="auto"/>
        <w:ind w:firstLine="720"/>
        <w:rPr>
          <w:color w:val="000000" w:themeColor="text1"/>
        </w:rPr>
      </w:pPr>
      <w:r w:rsidRPr="00832272">
        <w:rPr>
          <w:color w:val="000000" w:themeColor="text1"/>
        </w:rPr>
        <w:lastRenderedPageBreak/>
        <w:t>In order to promote a conversation beyond "it looks messy," the teacher must ask Socratic questions. This teaching strategy is critical to scaffolding. Questions might include:</w:t>
      </w:r>
    </w:p>
    <w:p w14:paraId="5AD963F2"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“Who left this here and why?” (Questioning agency)</w:t>
      </w:r>
    </w:p>
    <w:p w14:paraId="60DC2BC1"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"How do you think a sea turtle would feel in the left picture and the right picture?" (Feeling with and for)</w:t>
      </w:r>
    </w:p>
    <w:p w14:paraId="79877A14"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“Can you transform the left picture into the right? How?” (Problem-solving and agency)</w:t>
      </w:r>
    </w:p>
    <w:p w14:paraId="5D6351D7" w14:textId="77777777" w:rsidR="00832272" w:rsidRPr="00832272" w:rsidRDefault="00832272" w:rsidP="00832272">
      <w:pPr>
        <w:spacing w:line="480" w:lineRule="auto"/>
        <w:ind w:firstLine="720"/>
        <w:rPr>
          <w:color w:val="000000" w:themeColor="text1"/>
        </w:rPr>
      </w:pPr>
      <w:r w:rsidRPr="00832272">
        <w:rPr>
          <w:color w:val="000000" w:themeColor="text1"/>
        </w:rPr>
        <w:t>Alexander (2008) notes that "dialogic teaching" uses dialogue to encourage and extend thinking. The teacher uses the image as a starting point to give students a safe environment in which to share ideas. This is especially important with sustainability as it enables children to develop a "collective intelligence" of the environment (Vygotsky, 1978).</w:t>
      </w:r>
    </w:p>
    <w:p w14:paraId="4647999E" w14:textId="77777777" w:rsidR="00832272" w:rsidRPr="00832272" w:rsidRDefault="00832272" w:rsidP="00832272">
      <w:pPr>
        <w:spacing w:line="480" w:lineRule="auto"/>
        <w:ind w:firstLine="720"/>
        <w:rPr>
          <w:color w:val="000000" w:themeColor="text1"/>
        </w:rPr>
      </w:pPr>
      <w:r w:rsidRPr="00832272">
        <w:rPr>
          <w:color w:val="000000" w:themeColor="text1"/>
        </w:rPr>
        <w:t>Developing Criticality and Social Responsibility</w:t>
      </w:r>
    </w:p>
    <w:p w14:paraId="43DD2D8C" w14:textId="77777777" w:rsidR="00832272" w:rsidRPr="00832272" w:rsidRDefault="00832272" w:rsidP="00832272">
      <w:pPr>
        <w:spacing w:line="480" w:lineRule="auto"/>
        <w:ind w:firstLine="720"/>
        <w:rPr>
          <w:color w:val="000000" w:themeColor="text1"/>
        </w:rPr>
      </w:pPr>
      <w:r w:rsidRPr="00832272">
        <w:rPr>
          <w:color w:val="000000" w:themeColor="text1"/>
        </w:rPr>
        <w:t>Giroux (2004) defines critical pedagogy as linking education to social justice. Year 2 students are young but can understand fair or unfair practices. The picture of the polluted beach brings to light a social and environmental injustice, human comfort over the health of the planet Earth.</w:t>
      </w:r>
    </w:p>
    <w:p w14:paraId="172923F6" w14:textId="77777777" w:rsidR="00832272" w:rsidRPr="00832272" w:rsidRDefault="00832272" w:rsidP="00832272">
      <w:pPr>
        <w:spacing w:line="480" w:lineRule="auto"/>
        <w:ind w:firstLine="720"/>
        <w:rPr>
          <w:color w:val="000000" w:themeColor="text1"/>
        </w:rPr>
      </w:pPr>
      <w:proofErr w:type="spellStart"/>
      <w:r w:rsidRPr="00832272">
        <w:rPr>
          <w:color w:val="000000" w:themeColor="text1"/>
        </w:rPr>
        <w:t>Zembylas</w:t>
      </w:r>
      <w:proofErr w:type="spellEnd"/>
      <w:r w:rsidRPr="00832272">
        <w:rPr>
          <w:color w:val="000000" w:themeColor="text1"/>
        </w:rPr>
        <w:t xml:space="preserve"> (2013) explains the "affective" (emotional) component is an important aspect of critical engagement. The emotions of sadness and anger that children feel when looking at the polluted beach are examples of "troubling knowledge" (</w:t>
      </w:r>
      <w:proofErr w:type="spellStart"/>
      <w:r w:rsidRPr="00832272">
        <w:rPr>
          <w:color w:val="000000" w:themeColor="text1"/>
        </w:rPr>
        <w:t>Kumashiro</w:t>
      </w:r>
      <w:proofErr w:type="spellEnd"/>
      <w:r w:rsidRPr="00832272">
        <w:rPr>
          <w:color w:val="000000" w:themeColor="text1"/>
        </w:rPr>
        <w:t xml:space="preserve">, 2009). This unease prompts critical reflection. It prompts them to reflect on their own </w:t>
      </w:r>
      <w:proofErr w:type="spellStart"/>
      <w:r w:rsidRPr="00832272">
        <w:rPr>
          <w:color w:val="000000" w:themeColor="text1"/>
        </w:rPr>
        <w:t>behaviours</w:t>
      </w:r>
      <w:proofErr w:type="spellEnd"/>
      <w:r w:rsidRPr="00832272">
        <w:rPr>
          <w:color w:val="000000" w:themeColor="text1"/>
        </w:rPr>
        <w:t>, such as using single-use plastics, thus connecting the discussion to action.</w:t>
      </w:r>
    </w:p>
    <w:p w14:paraId="20554E84" w14:textId="77777777" w:rsidR="00832272" w:rsidRPr="00832272" w:rsidRDefault="00832272" w:rsidP="00832272">
      <w:pPr>
        <w:spacing w:line="480" w:lineRule="auto"/>
        <w:ind w:firstLine="720"/>
        <w:rPr>
          <w:color w:val="000000" w:themeColor="text1"/>
        </w:rPr>
      </w:pPr>
      <w:r w:rsidRPr="00832272">
        <w:rPr>
          <w:color w:val="000000" w:themeColor="text1"/>
        </w:rPr>
        <w:lastRenderedPageBreak/>
        <w:t>Moreover, this teaching strategy is an example of "critical literacy." Comber (2001) proposes that even early primary school children can discuss the impact of environmental problems on different groups of people. When children talk about who is responsible for the beach being in poor condition, they begin to learn about power relationships - in particular, the power of humans over nature and the responsibility that entails.</w:t>
      </w:r>
    </w:p>
    <w:p w14:paraId="03B1CFA2" w14:textId="77777777" w:rsidR="00832272" w:rsidRPr="00832272" w:rsidRDefault="00832272" w:rsidP="00832272">
      <w:pPr>
        <w:spacing w:line="480" w:lineRule="auto"/>
        <w:ind w:firstLine="720"/>
        <w:rPr>
          <w:color w:val="000000" w:themeColor="text1"/>
        </w:rPr>
      </w:pPr>
      <w:r w:rsidRPr="00832272">
        <w:rPr>
          <w:color w:val="000000" w:themeColor="text1"/>
        </w:rPr>
        <w:t>Findings and Implications for Practice</w:t>
      </w:r>
    </w:p>
    <w:p w14:paraId="57773DBC" w14:textId="77777777" w:rsidR="00832272" w:rsidRPr="00832272" w:rsidRDefault="00832272" w:rsidP="00832272">
      <w:pPr>
        <w:spacing w:line="480" w:lineRule="auto"/>
        <w:ind w:firstLine="720"/>
        <w:rPr>
          <w:color w:val="000000" w:themeColor="text1"/>
        </w:rPr>
      </w:pPr>
      <w:r w:rsidRPr="00832272">
        <w:rPr>
          <w:color w:val="000000" w:themeColor="text1"/>
        </w:rPr>
        <w:t>The use of a visual stimulus of this kind is likely to have a number of positive educational consequences:</w:t>
      </w:r>
    </w:p>
    <w:p w14:paraId="148844DE"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Refinement of Language: Children progress from naming to scientific and ethical vocabulary such as pollution, sustainability, responsibility, habitat.</w:t>
      </w:r>
    </w:p>
    <w:p w14:paraId="4AC6BDE2"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Perspective Taking: Pupils consider themselves as part of, rather than removed from, the environment.</w:t>
      </w:r>
    </w:p>
    <w:p w14:paraId="29856189" w14:textId="3601767C" w:rsid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Dialogical Reasoning: Via the talk-based approach, children learn to build on others' ideas, an important aspect of critical thinking.</w:t>
      </w:r>
    </w:p>
    <w:p w14:paraId="213D2E73" w14:textId="77777777" w:rsidR="002959C3" w:rsidRPr="002959C3" w:rsidRDefault="002959C3" w:rsidP="002959C3">
      <w:pPr>
        <w:spacing w:line="480" w:lineRule="auto"/>
        <w:rPr>
          <w:color w:val="000000" w:themeColor="text1"/>
        </w:rPr>
      </w:pPr>
      <w:r w:rsidRPr="002959C3">
        <w:rPr>
          <w:color w:val="000000" w:themeColor="text1"/>
        </w:rPr>
        <w:t xml:space="preserve">But there are risks to be aware of. As </w:t>
      </w:r>
      <w:proofErr w:type="spellStart"/>
      <w:r w:rsidRPr="002959C3">
        <w:rPr>
          <w:color w:val="000000" w:themeColor="text1"/>
        </w:rPr>
        <w:t>Heybach</w:t>
      </w:r>
      <w:proofErr w:type="spellEnd"/>
      <w:r w:rsidRPr="002959C3">
        <w:rPr>
          <w:color w:val="000000" w:themeColor="text1"/>
        </w:rPr>
        <w:t xml:space="preserve"> (2012) notes, "difficult knowledge" can create a defensive reaction or feelings of hopelessness. If they believe that there is nothing that can be done about ocean plastic, they may lose interest. </w:t>
      </w:r>
      <w:proofErr w:type="gramStart"/>
      <w:r w:rsidRPr="002959C3">
        <w:rPr>
          <w:color w:val="000000" w:themeColor="text1"/>
        </w:rPr>
        <w:t>So</w:t>
      </w:r>
      <w:proofErr w:type="gramEnd"/>
      <w:r w:rsidRPr="002959C3">
        <w:rPr>
          <w:color w:val="000000" w:themeColor="text1"/>
        </w:rPr>
        <w:t xml:space="preserve"> the teaching opportunity of the future must be "hopeful pedagogy". The teacher needs to follow the critical discussion with an "action-taking" lesson, such as planning a recycling campaign or community clean-up. This guarantees that critical thinking provoked by the image results in "agency" (Freire, 1970).</w:t>
      </w:r>
    </w:p>
    <w:p w14:paraId="432BC15A" w14:textId="77777777" w:rsidR="002959C3" w:rsidRPr="002959C3" w:rsidRDefault="002959C3" w:rsidP="002959C3">
      <w:pPr>
        <w:spacing w:line="480" w:lineRule="auto"/>
        <w:rPr>
          <w:color w:val="000000" w:themeColor="text1"/>
        </w:rPr>
      </w:pPr>
      <w:r w:rsidRPr="002959C3">
        <w:rPr>
          <w:color w:val="000000" w:themeColor="text1"/>
        </w:rPr>
        <w:t>Conclusion and Future Directions</w:t>
      </w:r>
    </w:p>
    <w:p w14:paraId="00A56FCB" w14:textId="77777777" w:rsidR="002959C3" w:rsidRPr="002959C3" w:rsidRDefault="002959C3" w:rsidP="002959C3">
      <w:pPr>
        <w:spacing w:line="480" w:lineRule="auto"/>
        <w:rPr>
          <w:color w:val="000000" w:themeColor="text1"/>
        </w:rPr>
      </w:pPr>
      <w:r w:rsidRPr="002959C3">
        <w:rPr>
          <w:color w:val="000000" w:themeColor="text1"/>
        </w:rPr>
        <w:lastRenderedPageBreak/>
        <w:t>The analysis of the above image shows that visual resources are more than decorative aids to learning; they are powerful semiotic spaces that can promote critical thinking. Through the representation of the complex notion of sustainability with a visual contrast, the resource offers an entry point for Year 2 students. This contrast provides the vital "scaffold" needed to progress young students from simple recognition towards higher thinking skills such as reasoning, inference and evaluation.</w:t>
      </w:r>
    </w:p>
    <w:p w14:paraId="65BE66E8" w14:textId="77777777" w:rsidR="002959C3" w:rsidRPr="002959C3" w:rsidRDefault="002959C3" w:rsidP="002959C3">
      <w:pPr>
        <w:spacing w:line="480" w:lineRule="auto"/>
        <w:rPr>
          <w:color w:val="000000" w:themeColor="text1"/>
        </w:rPr>
      </w:pPr>
      <w:r w:rsidRPr="002959C3">
        <w:rPr>
          <w:color w:val="000000" w:themeColor="text1"/>
        </w:rPr>
        <w:t xml:space="preserve">The combination of this visual analysis with a talk-oriented approach creates a classroom of "exploratory talk". The Socratic questioning of the image ensures a critical focus for the conversation, rather than merely a viewing session. This type of pedagogy enables children to </w:t>
      </w:r>
      <w:proofErr w:type="spellStart"/>
      <w:r w:rsidRPr="002959C3">
        <w:rPr>
          <w:color w:val="000000" w:themeColor="text1"/>
        </w:rPr>
        <w:t>verbalise</w:t>
      </w:r>
      <w:proofErr w:type="spellEnd"/>
      <w:r w:rsidRPr="002959C3">
        <w:rPr>
          <w:color w:val="000000" w:themeColor="text1"/>
        </w:rPr>
        <w:t xml:space="preserve"> their thinking, and develop a shared understanding of environmental stewardship. It moves between the "affective" dimension, or feeling response (discomfort at seeing the polluted beach) and the "critical" dimension, or thinking response (</w:t>
      </w:r>
      <w:proofErr w:type="spellStart"/>
      <w:r w:rsidRPr="002959C3">
        <w:rPr>
          <w:color w:val="000000" w:themeColor="text1"/>
        </w:rPr>
        <w:t>realising</w:t>
      </w:r>
      <w:proofErr w:type="spellEnd"/>
      <w:r w:rsidRPr="002959C3">
        <w:rPr>
          <w:color w:val="000000" w:themeColor="text1"/>
        </w:rPr>
        <w:t xml:space="preserve"> human impact).</w:t>
      </w:r>
    </w:p>
    <w:p w14:paraId="547EB9E8" w14:textId="77777777" w:rsidR="002959C3" w:rsidRPr="002959C3" w:rsidRDefault="002959C3" w:rsidP="002959C3">
      <w:pPr>
        <w:spacing w:line="480" w:lineRule="auto"/>
        <w:rPr>
          <w:color w:val="000000" w:themeColor="text1"/>
        </w:rPr>
      </w:pPr>
      <w:r w:rsidRPr="002959C3">
        <w:rPr>
          <w:color w:val="000000" w:themeColor="text1"/>
        </w:rPr>
        <w:t>For future practice, the success of the given image provides evidence that talk-based and visual pedagogies should be intertwined throughout the curriculum to meet professional standards for democracy and social justice. But teachers should be aware of the "pedagogy of discomfort" (</w:t>
      </w:r>
      <w:proofErr w:type="spellStart"/>
      <w:r w:rsidRPr="002959C3">
        <w:rPr>
          <w:color w:val="000000" w:themeColor="text1"/>
        </w:rPr>
        <w:t>Boler</w:t>
      </w:r>
      <w:proofErr w:type="spellEnd"/>
      <w:r w:rsidRPr="002959C3">
        <w:rPr>
          <w:color w:val="000000" w:themeColor="text1"/>
        </w:rPr>
        <w:t>, 1999). Although discovering "troubling knowledge" is needed for critical development, it needs to be complemented by opportunities for action. Futures of education inspired by the above image could include:</w:t>
      </w:r>
    </w:p>
    <w:p w14:paraId="1CAEE69B" w14:textId="77777777" w:rsidR="002959C3" w:rsidRPr="002959C3" w:rsidRDefault="002959C3" w:rsidP="002959C3">
      <w:pPr>
        <w:spacing w:line="480" w:lineRule="auto"/>
        <w:rPr>
          <w:color w:val="000000" w:themeColor="text1"/>
        </w:rPr>
      </w:pPr>
      <w:r w:rsidRPr="002959C3">
        <w:rPr>
          <w:color w:val="000000" w:themeColor="text1"/>
        </w:rPr>
        <w:t>•</w:t>
      </w:r>
      <w:r w:rsidRPr="002959C3">
        <w:rPr>
          <w:color w:val="000000" w:themeColor="text1"/>
        </w:rPr>
        <w:tab/>
        <w:t>Democratic Participation: Building on the critical discussion to encourage pupils to write letters to their local council to improve waste management.</w:t>
      </w:r>
    </w:p>
    <w:p w14:paraId="7CD17C4E" w14:textId="77777777" w:rsidR="002959C3" w:rsidRPr="002959C3" w:rsidRDefault="002959C3" w:rsidP="002959C3">
      <w:pPr>
        <w:spacing w:line="480" w:lineRule="auto"/>
        <w:rPr>
          <w:color w:val="000000" w:themeColor="text1"/>
        </w:rPr>
      </w:pPr>
      <w:r w:rsidRPr="002959C3">
        <w:rPr>
          <w:color w:val="000000" w:themeColor="text1"/>
        </w:rPr>
        <w:t>•</w:t>
      </w:r>
      <w:r w:rsidRPr="002959C3">
        <w:rPr>
          <w:color w:val="000000" w:themeColor="text1"/>
        </w:rPr>
        <w:tab/>
        <w:t xml:space="preserve">Multimodal Literacy: Pupils producing new visual resources that use similar "encoding" methods to change </w:t>
      </w:r>
      <w:proofErr w:type="spellStart"/>
      <w:r w:rsidRPr="002959C3">
        <w:rPr>
          <w:color w:val="000000" w:themeColor="text1"/>
        </w:rPr>
        <w:t>behaviour</w:t>
      </w:r>
      <w:proofErr w:type="spellEnd"/>
      <w:r w:rsidRPr="002959C3">
        <w:rPr>
          <w:color w:val="000000" w:themeColor="text1"/>
        </w:rPr>
        <w:t>.</w:t>
      </w:r>
    </w:p>
    <w:p w14:paraId="0B9ABECA" w14:textId="77777777" w:rsidR="002959C3" w:rsidRPr="002959C3" w:rsidRDefault="002959C3" w:rsidP="002959C3">
      <w:pPr>
        <w:spacing w:line="480" w:lineRule="auto"/>
        <w:rPr>
          <w:color w:val="000000" w:themeColor="text1"/>
        </w:rPr>
      </w:pPr>
      <w:r w:rsidRPr="002959C3">
        <w:rPr>
          <w:color w:val="000000" w:themeColor="text1"/>
        </w:rPr>
        <w:lastRenderedPageBreak/>
        <w:t>•</w:t>
      </w:r>
      <w:r w:rsidRPr="002959C3">
        <w:rPr>
          <w:color w:val="000000" w:themeColor="text1"/>
        </w:rPr>
        <w:tab/>
        <w:t>Interdisciplinary Connections: Connecting scientific knowledge of ecosystems to social studies themes and global citizenship.</w:t>
      </w:r>
    </w:p>
    <w:p w14:paraId="712B465D" w14:textId="4A960800" w:rsidR="00832272" w:rsidRDefault="002959C3" w:rsidP="002959C3">
      <w:pPr>
        <w:spacing w:line="480" w:lineRule="auto"/>
        <w:rPr>
          <w:color w:val="000000" w:themeColor="text1"/>
        </w:rPr>
      </w:pPr>
      <w:r w:rsidRPr="002959C3">
        <w:rPr>
          <w:color w:val="000000" w:themeColor="text1"/>
        </w:rPr>
        <w:t>In the end, using the given image to practice critical pedagogy allows young students not only to see the world as it is, but to develop critical thinking skills that allow them to contribute to change.</w:t>
      </w:r>
    </w:p>
    <w:p w14:paraId="6E8DD847" w14:textId="52AF1746" w:rsidR="00832272" w:rsidRDefault="00832272" w:rsidP="00832272">
      <w:pPr>
        <w:spacing w:line="480" w:lineRule="auto"/>
        <w:ind w:firstLine="720"/>
        <w:rPr>
          <w:color w:val="000000" w:themeColor="text1"/>
        </w:rPr>
      </w:pPr>
    </w:p>
    <w:p w14:paraId="221CBF75" w14:textId="43E9BBFA" w:rsidR="00832272" w:rsidRDefault="00832272" w:rsidP="00832272">
      <w:pPr>
        <w:spacing w:line="480" w:lineRule="auto"/>
        <w:ind w:firstLine="720"/>
        <w:rPr>
          <w:color w:val="000000" w:themeColor="text1"/>
        </w:rPr>
      </w:pPr>
    </w:p>
    <w:p w14:paraId="28F40F73" w14:textId="77777777" w:rsidR="00832272" w:rsidRDefault="00832272" w:rsidP="00832272">
      <w:pPr>
        <w:spacing w:line="480" w:lineRule="auto"/>
        <w:ind w:firstLine="720"/>
        <w:rPr>
          <w:color w:val="000000" w:themeColor="text1"/>
        </w:rPr>
      </w:pPr>
    </w:p>
    <w:sdt>
      <w:sdtPr>
        <w:rPr>
          <w:b w:val="0"/>
          <w:i w:val="0"/>
        </w:rPr>
        <w:id w:val="-855727509"/>
        <w:docPartObj>
          <w:docPartGallery w:val="Bibliographies"/>
          <w:docPartUnique/>
        </w:docPartObj>
      </w:sdtPr>
      <w:sdtEndPr/>
      <w:sdtContent>
        <w:p w14:paraId="32D8C675" w14:textId="030B6073" w:rsidR="00DC3420" w:rsidRDefault="00AF34E9" w:rsidP="00C67C8B">
          <w:pPr>
            <w:pStyle w:val="Heading1"/>
          </w:pPr>
          <w:r>
            <w:t>Bibliography</w:t>
          </w:r>
        </w:p>
        <w:sdt>
          <w:sdtPr>
            <w:id w:val="111145805"/>
            <w:bibliography/>
          </w:sdtPr>
          <w:sdtEndPr/>
          <w:sdtContent>
            <w:p w14:paraId="153338A0" w14:textId="2624550C" w:rsidR="00A84CF8" w:rsidRPr="00A84CF8" w:rsidRDefault="00A84CF8" w:rsidP="00A84CF8">
              <w:pPr>
                <w:pStyle w:val="Bibliography"/>
                <w:spacing w:line="480" w:lineRule="auto"/>
                <w:ind w:left="720" w:hanging="720"/>
              </w:pPr>
              <w:r w:rsidRPr="00A84CF8">
                <w:t xml:space="preserve">Alexander, R. (2008) </w:t>
              </w:r>
              <w:r w:rsidRPr="00A84CF8">
                <w:rPr>
                  <w:i/>
                  <w:iCs/>
                </w:rPr>
                <w:t>Essays on Pedagogy</w:t>
              </w:r>
              <w:r w:rsidRPr="00A84CF8">
                <w:t>. London: Routledge.</w:t>
              </w:r>
            </w:p>
            <w:p w14:paraId="69101CAD" w14:textId="77777777" w:rsidR="00A84CF8" w:rsidRPr="00A84CF8" w:rsidRDefault="00A84CF8" w:rsidP="00A84CF8">
              <w:pPr>
                <w:pStyle w:val="NormalWeb"/>
                <w:spacing w:line="480" w:lineRule="auto"/>
                <w:ind w:left="720" w:hanging="720"/>
                <w:contextualSpacing/>
              </w:pPr>
              <w:proofErr w:type="spellStart"/>
              <w:r w:rsidRPr="00A84CF8">
                <w:t>Boler</w:t>
              </w:r>
              <w:proofErr w:type="spellEnd"/>
              <w:r w:rsidRPr="00A84CF8">
                <w:t xml:space="preserve">, M. (1999) </w:t>
              </w:r>
              <w:r w:rsidRPr="00A84CF8">
                <w:rPr>
                  <w:i/>
                  <w:iCs/>
                </w:rPr>
                <w:t>Feeling Power: Emotions and Education</w:t>
              </w:r>
              <w:r w:rsidRPr="00A84CF8">
                <w:t>. New York: Routledge.</w:t>
              </w:r>
            </w:p>
            <w:p w14:paraId="2A290EC9" w14:textId="77777777" w:rsidR="00A84CF8" w:rsidRPr="00A84CF8" w:rsidRDefault="00A84CF8" w:rsidP="00A84CF8">
              <w:pPr>
                <w:pStyle w:val="NormalWeb"/>
                <w:spacing w:line="480" w:lineRule="auto"/>
                <w:ind w:left="720" w:hanging="720"/>
                <w:contextualSpacing/>
              </w:pPr>
              <w:r w:rsidRPr="00A84CF8">
                <w:t xml:space="preserve">Comber, B. (2001) 'Negotiating critical literacies', </w:t>
              </w:r>
              <w:r w:rsidRPr="00A84CF8">
                <w:rPr>
                  <w:i/>
                  <w:iCs/>
                </w:rPr>
                <w:t>School Talk</w:t>
              </w:r>
              <w:r w:rsidRPr="00A84CF8">
                <w:t>, 6(3), pp. 1-3.</w:t>
              </w:r>
            </w:p>
            <w:p w14:paraId="04290B1E" w14:textId="77777777" w:rsidR="00A84CF8" w:rsidRPr="00A84CF8" w:rsidRDefault="00A84CF8" w:rsidP="00A84CF8">
              <w:pPr>
                <w:pStyle w:val="NormalWeb"/>
                <w:spacing w:line="480" w:lineRule="auto"/>
                <w:ind w:left="720" w:hanging="720"/>
                <w:contextualSpacing/>
              </w:pPr>
              <w:r w:rsidRPr="00A84CF8">
                <w:t xml:space="preserve">Department for Education (DfE) (2015) </w:t>
              </w:r>
              <w:r w:rsidRPr="00A84CF8">
                <w:rPr>
                  <w:i/>
                  <w:iCs/>
                </w:rPr>
                <w:t xml:space="preserve">Science </w:t>
              </w:r>
              <w:proofErr w:type="spellStart"/>
              <w:r w:rsidRPr="00A84CF8">
                <w:rPr>
                  <w:i/>
                  <w:iCs/>
                </w:rPr>
                <w:t>programmes</w:t>
              </w:r>
              <w:proofErr w:type="spellEnd"/>
              <w:r w:rsidRPr="00A84CF8">
                <w:rPr>
                  <w:i/>
                  <w:iCs/>
                </w:rPr>
                <w:t xml:space="preserve"> of study: key stages 1 and 2</w:t>
              </w:r>
              <w:r w:rsidRPr="00A84CF8">
                <w:t xml:space="preserve">. [Online]. Available at: </w:t>
              </w:r>
              <w:hyperlink w:tgtFrame="_blank" w:history="1">
                <w:r w:rsidRPr="00A84CF8">
                  <w:rPr>
                    <w:rStyle w:val="Hyperlink"/>
                  </w:rPr>
                  <w:t>https://www.gov.uk/government/publications/national-curriculum-in-england-science-programmes-of-study</w:t>
                </w:r>
              </w:hyperlink>
              <w:r w:rsidRPr="00A84CF8">
                <w:t xml:space="preserve"> (Accessed: 30 April 2026).</w:t>
              </w:r>
            </w:p>
            <w:p w14:paraId="359C2610" w14:textId="77777777" w:rsidR="00A84CF8" w:rsidRPr="00A84CF8" w:rsidRDefault="00A84CF8" w:rsidP="00A84CF8">
              <w:pPr>
                <w:pStyle w:val="NormalWeb"/>
                <w:spacing w:line="480" w:lineRule="auto"/>
                <w:ind w:left="720" w:hanging="720"/>
                <w:contextualSpacing/>
              </w:pPr>
              <w:r w:rsidRPr="00A84CF8">
                <w:t xml:space="preserve">Freedman, K. (2003) </w:t>
              </w:r>
              <w:r w:rsidRPr="00A84CF8">
                <w:rPr>
                  <w:i/>
                  <w:iCs/>
                </w:rPr>
                <w:t>Teaching Visual Culture: Curriculum, Aesthetics, and the Social Life of Art</w:t>
              </w:r>
              <w:r w:rsidRPr="00A84CF8">
                <w:t>. New York: Teachers College Press.</w:t>
              </w:r>
            </w:p>
            <w:p w14:paraId="426CF513" w14:textId="77777777" w:rsidR="00A84CF8" w:rsidRPr="00A84CF8" w:rsidRDefault="00A84CF8" w:rsidP="00A84CF8">
              <w:pPr>
                <w:pStyle w:val="NormalWeb"/>
                <w:spacing w:line="480" w:lineRule="auto"/>
                <w:ind w:left="720" w:hanging="720"/>
                <w:contextualSpacing/>
              </w:pPr>
              <w:r w:rsidRPr="00A84CF8">
                <w:t xml:space="preserve">Freire, P. (1970) </w:t>
              </w:r>
              <w:r w:rsidRPr="00A84CF8">
                <w:rPr>
                  <w:i/>
                  <w:iCs/>
                </w:rPr>
                <w:t>Pedagogy of the Oppressed</w:t>
              </w:r>
              <w:r w:rsidRPr="00A84CF8">
                <w:t>. New York: Herder and Herder.</w:t>
              </w:r>
            </w:p>
            <w:p w14:paraId="6902BBC2" w14:textId="77777777" w:rsidR="00A84CF8" w:rsidRPr="00A84CF8" w:rsidRDefault="00A84CF8" w:rsidP="00A84CF8">
              <w:pPr>
                <w:pStyle w:val="NormalWeb"/>
                <w:spacing w:line="480" w:lineRule="auto"/>
                <w:ind w:left="720" w:hanging="720"/>
                <w:contextualSpacing/>
              </w:pPr>
              <w:r w:rsidRPr="00A84CF8">
                <w:t xml:space="preserve">Giroux, H. A. (2004) 'Critical pedagogy and the postmodern/modern divide: Towards a pedagogy of democratization', </w:t>
              </w:r>
              <w:r w:rsidRPr="00A84CF8">
                <w:rPr>
                  <w:i/>
                  <w:iCs/>
                </w:rPr>
                <w:t>Teacher Education Quarterly</w:t>
              </w:r>
              <w:r w:rsidRPr="00A84CF8">
                <w:t>, 31(1), pp. 31-47.</w:t>
              </w:r>
            </w:p>
            <w:p w14:paraId="28E9E3DC" w14:textId="77777777" w:rsidR="00A84CF8" w:rsidRPr="00A84CF8" w:rsidRDefault="00A84CF8" w:rsidP="00A84CF8">
              <w:pPr>
                <w:pStyle w:val="NormalWeb"/>
                <w:spacing w:line="480" w:lineRule="auto"/>
                <w:ind w:left="720" w:hanging="720"/>
                <w:contextualSpacing/>
              </w:pPr>
              <w:r w:rsidRPr="00A84CF8">
                <w:t xml:space="preserve">Hall, S. (1997) </w:t>
              </w:r>
              <w:r w:rsidRPr="00A84CF8">
                <w:rPr>
                  <w:i/>
                  <w:iCs/>
                </w:rPr>
                <w:t>Representation: Cultural Representations and Signifying Practices</w:t>
              </w:r>
              <w:r w:rsidRPr="00A84CF8">
                <w:t>. London: Sage.</w:t>
              </w:r>
            </w:p>
            <w:p w14:paraId="2FD7355B" w14:textId="77777777" w:rsidR="00A84CF8" w:rsidRPr="00A84CF8" w:rsidRDefault="00A84CF8" w:rsidP="00A84CF8">
              <w:pPr>
                <w:pStyle w:val="NormalWeb"/>
                <w:spacing w:line="480" w:lineRule="auto"/>
                <w:ind w:left="720" w:hanging="720"/>
                <w:contextualSpacing/>
              </w:pPr>
              <w:r w:rsidRPr="00A84CF8">
                <w:lastRenderedPageBreak/>
                <w:t xml:space="preserve">Kress, G. (2010) </w:t>
              </w:r>
              <w:r w:rsidRPr="00A84CF8">
                <w:rPr>
                  <w:i/>
                  <w:iCs/>
                </w:rPr>
                <w:t>Multimodality: A Social Semiotic Approach to Contemporary Communication</w:t>
              </w:r>
              <w:r w:rsidRPr="00A84CF8">
                <w:t>. London: Routledge.</w:t>
              </w:r>
            </w:p>
            <w:p w14:paraId="6E26B401" w14:textId="77777777" w:rsidR="00A84CF8" w:rsidRPr="00A84CF8" w:rsidRDefault="00A84CF8" w:rsidP="00A84CF8">
              <w:pPr>
                <w:pStyle w:val="NormalWeb"/>
                <w:spacing w:line="480" w:lineRule="auto"/>
                <w:ind w:left="720" w:hanging="720"/>
                <w:contextualSpacing/>
              </w:pPr>
              <w:proofErr w:type="spellStart"/>
              <w:r w:rsidRPr="00A84CF8">
                <w:t>Kumashiro</w:t>
              </w:r>
              <w:proofErr w:type="spellEnd"/>
              <w:r w:rsidRPr="00A84CF8">
                <w:t xml:space="preserve">, K. K. (2009) </w:t>
              </w:r>
              <w:r w:rsidRPr="00A84CF8">
                <w:rPr>
                  <w:i/>
                  <w:iCs/>
                </w:rPr>
                <w:t>Against Common Sense: Teaching and Learning Toward Social Justice</w:t>
              </w:r>
              <w:r w:rsidRPr="00A84CF8">
                <w:t>. London: Routledge.</w:t>
              </w:r>
            </w:p>
            <w:p w14:paraId="5DD4834C" w14:textId="77777777" w:rsidR="00A84CF8" w:rsidRPr="00A84CF8" w:rsidRDefault="00A84CF8" w:rsidP="00A84CF8">
              <w:pPr>
                <w:pStyle w:val="NormalWeb"/>
                <w:spacing w:line="480" w:lineRule="auto"/>
                <w:ind w:left="720" w:hanging="720"/>
                <w:contextualSpacing/>
              </w:pPr>
              <w:r w:rsidRPr="00A84CF8">
                <w:t xml:space="preserve">Mercer, N. (2000) </w:t>
              </w:r>
              <w:r w:rsidRPr="00A84CF8">
                <w:rPr>
                  <w:i/>
                  <w:iCs/>
                </w:rPr>
                <w:t>Words and Minds: How We Use Language to Think Together</w:t>
              </w:r>
              <w:r w:rsidRPr="00A84CF8">
                <w:t>. London: Routledge.</w:t>
              </w:r>
            </w:p>
            <w:p w14:paraId="3CBDDB0B" w14:textId="77777777" w:rsidR="00A84CF8" w:rsidRPr="00A84CF8" w:rsidRDefault="00A84CF8" w:rsidP="00A84CF8">
              <w:pPr>
                <w:pStyle w:val="NormalWeb"/>
                <w:spacing w:line="480" w:lineRule="auto"/>
                <w:ind w:left="720" w:hanging="720"/>
                <w:contextualSpacing/>
              </w:pPr>
              <w:r w:rsidRPr="00A84CF8">
                <w:t xml:space="preserve">Vygotsky, L. S. (1978) </w:t>
              </w:r>
              <w:r w:rsidRPr="00A84CF8">
                <w:rPr>
                  <w:i/>
                  <w:iCs/>
                </w:rPr>
                <w:t>Mind in Society: The Development of Higher Psychological Processes</w:t>
              </w:r>
              <w:r w:rsidRPr="00A84CF8">
                <w:t>. Cambridge, MA: Harvard University Press.</w:t>
              </w:r>
            </w:p>
            <w:p w14:paraId="5A890611" w14:textId="77777777" w:rsidR="00A84CF8" w:rsidRPr="00A84CF8" w:rsidRDefault="00A84CF8" w:rsidP="00A84CF8">
              <w:pPr>
                <w:pStyle w:val="NormalWeb"/>
                <w:spacing w:line="480" w:lineRule="auto"/>
                <w:ind w:left="720" w:hanging="720"/>
                <w:contextualSpacing/>
              </w:pPr>
              <w:proofErr w:type="spellStart"/>
              <w:r w:rsidRPr="00A84CF8">
                <w:t>Zembylas</w:t>
              </w:r>
              <w:proofErr w:type="spellEnd"/>
              <w:r w:rsidRPr="00A84CF8">
                <w:t xml:space="preserve">, M. (2013) 'Critical pedagogy and emotion: A post-structuralist perspective', </w:t>
              </w:r>
              <w:r w:rsidRPr="00A84CF8">
                <w:rPr>
                  <w:i/>
                  <w:iCs/>
                </w:rPr>
                <w:t>Educational Theory</w:t>
              </w:r>
              <w:r w:rsidRPr="00A84CF8">
                <w:t>, 63(1), pp. 12-25.</w:t>
              </w:r>
            </w:p>
            <w:p w14:paraId="41424853" w14:textId="4BD069A2" w:rsidR="00DC3420" w:rsidRDefault="002E766B" w:rsidP="00C67C8B">
              <w:pPr>
                <w:spacing w:line="480" w:lineRule="auto"/>
                <w:ind w:left="720" w:hanging="720"/>
              </w:pPr>
            </w:p>
          </w:sdtContent>
        </w:sdt>
      </w:sdtContent>
    </w:sdt>
    <w:p w14:paraId="2B62432B" w14:textId="77777777" w:rsidR="00DC3420" w:rsidRPr="00DC3420" w:rsidRDefault="00DC3420" w:rsidP="00C67C8B">
      <w:pPr>
        <w:spacing w:line="480" w:lineRule="auto"/>
        <w:ind w:left="720" w:hanging="720"/>
        <w:rPr>
          <w:color w:val="000000" w:themeColor="text1"/>
        </w:rPr>
      </w:pPr>
    </w:p>
    <w:p w14:paraId="1AAEE6BE" w14:textId="77777777" w:rsidR="00577513" w:rsidRPr="008F026B" w:rsidRDefault="00577513" w:rsidP="008F026B">
      <w:pPr>
        <w:spacing w:line="480" w:lineRule="auto"/>
      </w:pPr>
    </w:p>
    <w:sectPr w:rsidR="00577513" w:rsidRPr="008F026B" w:rsidSect="00AF5531">
      <w:headerReference w:type="default" r:id="rId8"/>
      <w:headerReference w:type="first" r:id="rId9"/>
      <w:pgSz w:w="12240" w:h="15840"/>
      <w:pgMar w:top="1440" w:right="1361" w:bottom="1440"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70685" w14:textId="77777777" w:rsidR="002E766B" w:rsidRDefault="002E766B">
      <w:r>
        <w:separator/>
      </w:r>
    </w:p>
  </w:endnote>
  <w:endnote w:type="continuationSeparator" w:id="0">
    <w:p w14:paraId="1B0EDD95" w14:textId="77777777" w:rsidR="002E766B" w:rsidRDefault="002E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E5EFC" w14:textId="77777777" w:rsidR="002E766B" w:rsidRDefault="002E766B">
      <w:r>
        <w:separator/>
      </w:r>
    </w:p>
  </w:footnote>
  <w:footnote w:type="continuationSeparator" w:id="0">
    <w:p w14:paraId="152111C8" w14:textId="77777777" w:rsidR="002E766B" w:rsidRDefault="002E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49E9" w14:textId="3ECF98A0" w:rsidR="00BC283E" w:rsidRPr="00050744" w:rsidRDefault="00054B18" w:rsidP="006E2EA2">
    <w:pPr>
      <w:pStyle w:val="Header"/>
      <w:jc w:val="right"/>
    </w:pPr>
    <w:r>
      <w:t>A</w:t>
    </w:r>
    <w:r w:rsidRPr="00054B18">
      <w:t>nalysis of a visual resource</w:t>
    </w:r>
  </w:p>
  <w:p w14:paraId="2333419E" w14:textId="77777777" w:rsidR="00B86751" w:rsidRDefault="00B867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DBF8" w14:textId="62382B08" w:rsidR="00C67C8B" w:rsidRPr="008F026B" w:rsidRDefault="00C67C8B" w:rsidP="00C67C8B">
    <w:pPr>
      <w:spacing w:line="480" w:lineRule="auto"/>
      <w:rPr>
        <w:i/>
      </w:rPr>
    </w:pPr>
    <w:r w:rsidRPr="008F026B">
      <w:t xml:space="preserve">RUNNING HEAD: </w:t>
    </w:r>
    <w:r w:rsidR="00616D9A" w:rsidRPr="00616D9A">
      <w:t xml:space="preserve">Critical Analysis </w:t>
    </w:r>
    <w:r w:rsidR="00616D9A">
      <w:t>o</w:t>
    </w:r>
    <w:r w:rsidR="00616D9A" w:rsidRPr="00616D9A">
      <w:t xml:space="preserve">f </w:t>
    </w:r>
    <w:r w:rsidR="00616D9A">
      <w:t>a</w:t>
    </w:r>
    <w:r w:rsidR="00616D9A" w:rsidRPr="00616D9A">
      <w:t xml:space="preserve"> Visual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9CE0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58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FA72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FE3A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A687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8CE1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2243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4615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E2B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98BF1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1NTE2MjQwNzQxNDRW0lEKTi0uzszPAykwrQUAA+TcWCwAAAA="/>
  </w:docVars>
  <w:rsids>
    <w:rsidRoot w:val="008A6AFF"/>
    <w:rsid w:val="00017A15"/>
    <w:rsid w:val="00017B84"/>
    <w:rsid w:val="00017F74"/>
    <w:rsid w:val="0004181A"/>
    <w:rsid w:val="00050744"/>
    <w:rsid w:val="00054B18"/>
    <w:rsid w:val="00055017"/>
    <w:rsid w:val="000578D5"/>
    <w:rsid w:val="00065E43"/>
    <w:rsid w:val="000721B8"/>
    <w:rsid w:val="00074014"/>
    <w:rsid w:val="0009039B"/>
    <w:rsid w:val="00092655"/>
    <w:rsid w:val="00094BC4"/>
    <w:rsid w:val="00095CC5"/>
    <w:rsid w:val="000A1527"/>
    <w:rsid w:val="000B546E"/>
    <w:rsid w:val="000C43D6"/>
    <w:rsid w:val="000C529E"/>
    <w:rsid w:val="000F3678"/>
    <w:rsid w:val="000F3E3D"/>
    <w:rsid w:val="000F5D3E"/>
    <w:rsid w:val="000F759D"/>
    <w:rsid w:val="00112DF7"/>
    <w:rsid w:val="0013681C"/>
    <w:rsid w:val="0017127F"/>
    <w:rsid w:val="00173D9C"/>
    <w:rsid w:val="00182180"/>
    <w:rsid w:val="0018567A"/>
    <w:rsid w:val="001861A2"/>
    <w:rsid w:val="00186C83"/>
    <w:rsid w:val="00195BD7"/>
    <w:rsid w:val="001B5108"/>
    <w:rsid w:val="001C1791"/>
    <w:rsid w:val="001C2402"/>
    <w:rsid w:val="001C2460"/>
    <w:rsid w:val="001C3DBA"/>
    <w:rsid w:val="001D134A"/>
    <w:rsid w:val="001E49C0"/>
    <w:rsid w:val="001E6002"/>
    <w:rsid w:val="00220EBE"/>
    <w:rsid w:val="0022119E"/>
    <w:rsid w:val="002227A3"/>
    <w:rsid w:val="00226BAA"/>
    <w:rsid w:val="002357A9"/>
    <w:rsid w:val="00236A8B"/>
    <w:rsid w:val="002476AA"/>
    <w:rsid w:val="0026343D"/>
    <w:rsid w:val="00264B1B"/>
    <w:rsid w:val="00272A4E"/>
    <w:rsid w:val="00272FB1"/>
    <w:rsid w:val="00280F32"/>
    <w:rsid w:val="00287AFC"/>
    <w:rsid w:val="002959C3"/>
    <w:rsid w:val="002A582D"/>
    <w:rsid w:val="002B0E3C"/>
    <w:rsid w:val="002C31D7"/>
    <w:rsid w:val="002C53A3"/>
    <w:rsid w:val="002D270C"/>
    <w:rsid w:val="002E0153"/>
    <w:rsid w:val="002E35E2"/>
    <w:rsid w:val="002E3C4E"/>
    <w:rsid w:val="002E41AF"/>
    <w:rsid w:val="002E766B"/>
    <w:rsid w:val="002F1D50"/>
    <w:rsid w:val="002F1EC8"/>
    <w:rsid w:val="00307391"/>
    <w:rsid w:val="003103C7"/>
    <w:rsid w:val="00317335"/>
    <w:rsid w:val="00327025"/>
    <w:rsid w:val="00330694"/>
    <w:rsid w:val="0033167D"/>
    <w:rsid w:val="0033503C"/>
    <w:rsid w:val="00344D4F"/>
    <w:rsid w:val="00351654"/>
    <w:rsid w:val="00355A28"/>
    <w:rsid w:val="00360028"/>
    <w:rsid w:val="00363339"/>
    <w:rsid w:val="00364E0B"/>
    <w:rsid w:val="003672DF"/>
    <w:rsid w:val="0037130F"/>
    <w:rsid w:val="0038312E"/>
    <w:rsid w:val="00393EF3"/>
    <w:rsid w:val="003960FC"/>
    <w:rsid w:val="003D0B26"/>
    <w:rsid w:val="003E1EB6"/>
    <w:rsid w:val="003E413D"/>
    <w:rsid w:val="003E5379"/>
    <w:rsid w:val="003E6CBE"/>
    <w:rsid w:val="003F2C54"/>
    <w:rsid w:val="003F4EC3"/>
    <w:rsid w:val="003F5A63"/>
    <w:rsid w:val="00401331"/>
    <w:rsid w:val="0040366B"/>
    <w:rsid w:val="00412BEF"/>
    <w:rsid w:val="00413354"/>
    <w:rsid w:val="00414E60"/>
    <w:rsid w:val="00424E97"/>
    <w:rsid w:val="00431219"/>
    <w:rsid w:val="00437294"/>
    <w:rsid w:val="00444A42"/>
    <w:rsid w:val="00451B41"/>
    <w:rsid w:val="004703B9"/>
    <w:rsid w:val="00473D31"/>
    <w:rsid w:val="00486512"/>
    <w:rsid w:val="00486911"/>
    <w:rsid w:val="00491946"/>
    <w:rsid w:val="004922BC"/>
    <w:rsid w:val="00495545"/>
    <w:rsid w:val="004A0900"/>
    <w:rsid w:val="004A47D8"/>
    <w:rsid w:val="004A4F79"/>
    <w:rsid w:val="004B1E20"/>
    <w:rsid w:val="004B7E41"/>
    <w:rsid w:val="004C3C14"/>
    <w:rsid w:val="004D20CF"/>
    <w:rsid w:val="004D2924"/>
    <w:rsid w:val="004E70E8"/>
    <w:rsid w:val="004F71AC"/>
    <w:rsid w:val="00504CCB"/>
    <w:rsid w:val="00506603"/>
    <w:rsid w:val="00532588"/>
    <w:rsid w:val="0053797E"/>
    <w:rsid w:val="0055128A"/>
    <w:rsid w:val="00551EBE"/>
    <w:rsid w:val="0056105A"/>
    <w:rsid w:val="0056154B"/>
    <w:rsid w:val="005617EF"/>
    <w:rsid w:val="00573E0D"/>
    <w:rsid w:val="00576B3A"/>
    <w:rsid w:val="00577513"/>
    <w:rsid w:val="00580A3B"/>
    <w:rsid w:val="005831CB"/>
    <w:rsid w:val="00590CFC"/>
    <w:rsid w:val="00592BE6"/>
    <w:rsid w:val="005A19CD"/>
    <w:rsid w:val="005A6A03"/>
    <w:rsid w:val="005A6CCE"/>
    <w:rsid w:val="005B02B5"/>
    <w:rsid w:val="005C1AAD"/>
    <w:rsid w:val="005C1C18"/>
    <w:rsid w:val="005C2919"/>
    <w:rsid w:val="005D09C3"/>
    <w:rsid w:val="005D2648"/>
    <w:rsid w:val="005D7314"/>
    <w:rsid w:val="005F1A6D"/>
    <w:rsid w:val="005F47AF"/>
    <w:rsid w:val="0060010C"/>
    <w:rsid w:val="00616D9A"/>
    <w:rsid w:val="00620078"/>
    <w:rsid w:val="00635E15"/>
    <w:rsid w:val="0064456C"/>
    <w:rsid w:val="00645424"/>
    <w:rsid w:val="00646DA5"/>
    <w:rsid w:val="006556FC"/>
    <w:rsid w:val="00686854"/>
    <w:rsid w:val="00691D8D"/>
    <w:rsid w:val="006957A4"/>
    <w:rsid w:val="006A2A81"/>
    <w:rsid w:val="006B6F07"/>
    <w:rsid w:val="006C1834"/>
    <w:rsid w:val="006C396E"/>
    <w:rsid w:val="006D5A8D"/>
    <w:rsid w:val="006D5E78"/>
    <w:rsid w:val="006E2EA2"/>
    <w:rsid w:val="006F517D"/>
    <w:rsid w:val="00711866"/>
    <w:rsid w:val="00711F62"/>
    <w:rsid w:val="007251D0"/>
    <w:rsid w:val="007374DF"/>
    <w:rsid w:val="00764269"/>
    <w:rsid w:val="007716D3"/>
    <w:rsid w:val="007838B8"/>
    <w:rsid w:val="00784DB1"/>
    <w:rsid w:val="007A7C5B"/>
    <w:rsid w:val="007B7AE1"/>
    <w:rsid w:val="007D086B"/>
    <w:rsid w:val="007D1CF9"/>
    <w:rsid w:val="00813DFB"/>
    <w:rsid w:val="00821F3E"/>
    <w:rsid w:val="008315DB"/>
    <w:rsid w:val="00832272"/>
    <w:rsid w:val="00837AD8"/>
    <w:rsid w:val="008423D8"/>
    <w:rsid w:val="008510DA"/>
    <w:rsid w:val="0086290F"/>
    <w:rsid w:val="00886ACD"/>
    <w:rsid w:val="00894AD8"/>
    <w:rsid w:val="008A3762"/>
    <w:rsid w:val="008A4FF9"/>
    <w:rsid w:val="008A5A02"/>
    <w:rsid w:val="008A6AFF"/>
    <w:rsid w:val="008C6813"/>
    <w:rsid w:val="008E016D"/>
    <w:rsid w:val="008F026B"/>
    <w:rsid w:val="008F13BB"/>
    <w:rsid w:val="008F77FE"/>
    <w:rsid w:val="00902DAB"/>
    <w:rsid w:val="009035AA"/>
    <w:rsid w:val="00912BEC"/>
    <w:rsid w:val="009132A3"/>
    <w:rsid w:val="009143B3"/>
    <w:rsid w:val="00921B4B"/>
    <w:rsid w:val="009274A7"/>
    <w:rsid w:val="00937FA7"/>
    <w:rsid w:val="00943011"/>
    <w:rsid w:val="009531B8"/>
    <w:rsid w:val="009678F7"/>
    <w:rsid w:val="00972E25"/>
    <w:rsid w:val="00990515"/>
    <w:rsid w:val="0099793B"/>
    <w:rsid w:val="009B318A"/>
    <w:rsid w:val="009B33BA"/>
    <w:rsid w:val="009B4250"/>
    <w:rsid w:val="009B74B0"/>
    <w:rsid w:val="009C3BED"/>
    <w:rsid w:val="009C6E4F"/>
    <w:rsid w:val="009E305C"/>
    <w:rsid w:val="009E40B5"/>
    <w:rsid w:val="00A04BB6"/>
    <w:rsid w:val="00A32E2F"/>
    <w:rsid w:val="00A3742E"/>
    <w:rsid w:val="00A429A4"/>
    <w:rsid w:val="00A5248F"/>
    <w:rsid w:val="00A66A56"/>
    <w:rsid w:val="00A70AC8"/>
    <w:rsid w:val="00A84CF8"/>
    <w:rsid w:val="00A91C39"/>
    <w:rsid w:val="00A954AE"/>
    <w:rsid w:val="00A9681E"/>
    <w:rsid w:val="00AC1E2B"/>
    <w:rsid w:val="00AD336C"/>
    <w:rsid w:val="00AE3F51"/>
    <w:rsid w:val="00AF34E9"/>
    <w:rsid w:val="00AF5531"/>
    <w:rsid w:val="00B027D8"/>
    <w:rsid w:val="00B070E8"/>
    <w:rsid w:val="00B10C88"/>
    <w:rsid w:val="00B1659B"/>
    <w:rsid w:val="00B34769"/>
    <w:rsid w:val="00B37AC6"/>
    <w:rsid w:val="00B42E3E"/>
    <w:rsid w:val="00B50C14"/>
    <w:rsid w:val="00B52224"/>
    <w:rsid w:val="00B64F03"/>
    <w:rsid w:val="00B820C9"/>
    <w:rsid w:val="00B858F1"/>
    <w:rsid w:val="00B86751"/>
    <w:rsid w:val="00BC1AE7"/>
    <w:rsid w:val="00BC283E"/>
    <w:rsid w:val="00BC437B"/>
    <w:rsid w:val="00BC6A9C"/>
    <w:rsid w:val="00BD2BE8"/>
    <w:rsid w:val="00BF65F4"/>
    <w:rsid w:val="00C04F3F"/>
    <w:rsid w:val="00C17F00"/>
    <w:rsid w:val="00C362B6"/>
    <w:rsid w:val="00C53D81"/>
    <w:rsid w:val="00C67C8B"/>
    <w:rsid w:val="00C713AC"/>
    <w:rsid w:val="00C72C69"/>
    <w:rsid w:val="00C72FD5"/>
    <w:rsid w:val="00C84CAD"/>
    <w:rsid w:val="00C85B63"/>
    <w:rsid w:val="00C9523D"/>
    <w:rsid w:val="00CB00EB"/>
    <w:rsid w:val="00CC427D"/>
    <w:rsid w:val="00CD1ED3"/>
    <w:rsid w:val="00CD3F0C"/>
    <w:rsid w:val="00CE6C99"/>
    <w:rsid w:val="00CF1CED"/>
    <w:rsid w:val="00CF2B8A"/>
    <w:rsid w:val="00CF517F"/>
    <w:rsid w:val="00CF6C12"/>
    <w:rsid w:val="00D01CC2"/>
    <w:rsid w:val="00D114CF"/>
    <w:rsid w:val="00D224D5"/>
    <w:rsid w:val="00D41461"/>
    <w:rsid w:val="00D57754"/>
    <w:rsid w:val="00D81435"/>
    <w:rsid w:val="00D81B6E"/>
    <w:rsid w:val="00DC3420"/>
    <w:rsid w:val="00DD2EFE"/>
    <w:rsid w:val="00DD7745"/>
    <w:rsid w:val="00DD78B0"/>
    <w:rsid w:val="00DF089C"/>
    <w:rsid w:val="00DF0B29"/>
    <w:rsid w:val="00DF45C9"/>
    <w:rsid w:val="00E0171A"/>
    <w:rsid w:val="00E02F1C"/>
    <w:rsid w:val="00E14ED2"/>
    <w:rsid w:val="00E17671"/>
    <w:rsid w:val="00E246FD"/>
    <w:rsid w:val="00E401E2"/>
    <w:rsid w:val="00E70FC9"/>
    <w:rsid w:val="00E933E2"/>
    <w:rsid w:val="00EB05BD"/>
    <w:rsid w:val="00EC7D80"/>
    <w:rsid w:val="00EE40B8"/>
    <w:rsid w:val="00EE4F1B"/>
    <w:rsid w:val="00EF0D46"/>
    <w:rsid w:val="00EF1736"/>
    <w:rsid w:val="00EF238F"/>
    <w:rsid w:val="00EF3B7E"/>
    <w:rsid w:val="00EF5096"/>
    <w:rsid w:val="00F01FA1"/>
    <w:rsid w:val="00F11E02"/>
    <w:rsid w:val="00F125B3"/>
    <w:rsid w:val="00F15869"/>
    <w:rsid w:val="00F347DB"/>
    <w:rsid w:val="00F3524E"/>
    <w:rsid w:val="00F3716C"/>
    <w:rsid w:val="00F471A1"/>
    <w:rsid w:val="00F5007F"/>
    <w:rsid w:val="00F522FD"/>
    <w:rsid w:val="00F7560A"/>
    <w:rsid w:val="00F8581D"/>
    <w:rsid w:val="00F858F9"/>
    <w:rsid w:val="00F901C2"/>
    <w:rsid w:val="00FA022A"/>
    <w:rsid w:val="00FA40CB"/>
    <w:rsid w:val="00FA478E"/>
    <w:rsid w:val="00FC7896"/>
    <w:rsid w:val="00FD64B4"/>
    <w:rsid w:val="00FD7DD7"/>
    <w:rsid w:val="00FF133D"/>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2652"/>
  <w15:chartTrackingRefBased/>
  <w15:docId w15:val="{9A2FCD59-11D2-4A6C-8F71-D3F79276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E3F51"/>
    <w:rPr>
      <w:sz w:val="24"/>
      <w:szCs w:val="24"/>
    </w:rPr>
  </w:style>
  <w:style w:type="paragraph" w:styleId="Heading1">
    <w:name w:val="heading 1"/>
    <w:basedOn w:val="Normal"/>
    <w:next w:val="Normal"/>
    <w:link w:val="Heading1Char"/>
    <w:uiPriority w:val="9"/>
    <w:qFormat/>
    <w:rsid w:val="009E40B5"/>
    <w:pPr>
      <w:spacing w:line="480" w:lineRule="auto"/>
      <w:outlineLvl w:val="0"/>
    </w:pPr>
    <w:rPr>
      <w:b/>
      <w:i/>
    </w:rPr>
  </w:style>
  <w:style w:type="paragraph" w:styleId="Heading2">
    <w:name w:val="heading 2"/>
    <w:basedOn w:val="Normal"/>
    <w:next w:val="Normal"/>
    <w:link w:val="Heading2Char"/>
    <w:unhideWhenUsed/>
    <w:qFormat/>
    <w:rsid w:val="00AE3F51"/>
    <w:pPr>
      <w:spacing w:line="480" w:lineRule="auto"/>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EA2"/>
    <w:pPr>
      <w:tabs>
        <w:tab w:val="center" w:pos="4320"/>
        <w:tab w:val="right" w:pos="8640"/>
      </w:tabs>
    </w:pPr>
  </w:style>
  <w:style w:type="paragraph" w:styleId="Footer">
    <w:name w:val="footer"/>
    <w:basedOn w:val="Normal"/>
    <w:rsid w:val="006E2EA2"/>
    <w:pPr>
      <w:tabs>
        <w:tab w:val="center" w:pos="4320"/>
        <w:tab w:val="right" w:pos="8640"/>
      </w:tabs>
    </w:pPr>
  </w:style>
  <w:style w:type="character" w:styleId="PageNumber">
    <w:name w:val="page number"/>
    <w:basedOn w:val="DefaultParagraphFont"/>
    <w:rsid w:val="006E2EA2"/>
  </w:style>
  <w:style w:type="paragraph" w:styleId="Title">
    <w:name w:val="Title"/>
    <w:basedOn w:val="Normal"/>
    <w:next w:val="Normal"/>
    <w:link w:val="TitleChar"/>
    <w:qFormat/>
    <w:rsid w:val="009035AA"/>
    <w:pPr>
      <w:tabs>
        <w:tab w:val="left" w:pos="4136"/>
      </w:tabs>
      <w:spacing w:line="480" w:lineRule="auto"/>
      <w:jc w:val="center"/>
    </w:pPr>
  </w:style>
  <w:style w:type="character" w:customStyle="1" w:styleId="TitleChar">
    <w:name w:val="Title Char"/>
    <w:basedOn w:val="DefaultParagraphFont"/>
    <w:link w:val="Title"/>
    <w:rsid w:val="009035AA"/>
    <w:rPr>
      <w:sz w:val="24"/>
      <w:szCs w:val="24"/>
    </w:rPr>
  </w:style>
  <w:style w:type="character" w:customStyle="1" w:styleId="Heading1Char">
    <w:name w:val="Heading 1 Char"/>
    <w:basedOn w:val="DefaultParagraphFont"/>
    <w:link w:val="Heading1"/>
    <w:uiPriority w:val="9"/>
    <w:rsid w:val="009E40B5"/>
    <w:rPr>
      <w:b/>
      <w:i/>
      <w:sz w:val="24"/>
      <w:szCs w:val="24"/>
    </w:rPr>
  </w:style>
  <w:style w:type="character" w:customStyle="1" w:styleId="Heading2Char">
    <w:name w:val="Heading 2 Char"/>
    <w:basedOn w:val="DefaultParagraphFont"/>
    <w:link w:val="Heading2"/>
    <w:rsid w:val="00AE3F51"/>
    <w:rPr>
      <w:i/>
      <w:sz w:val="24"/>
      <w:szCs w:val="24"/>
    </w:rPr>
  </w:style>
  <w:style w:type="paragraph" w:styleId="Bibliography">
    <w:name w:val="Bibliography"/>
    <w:basedOn w:val="Normal"/>
    <w:next w:val="Normal"/>
    <w:uiPriority w:val="37"/>
    <w:unhideWhenUsed/>
    <w:rsid w:val="0037130F"/>
  </w:style>
  <w:style w:type="character" w:styleId="Hyperlink">
    <w:name w:val="Hyperlink"/>
    <w:basedOn w:val="DefaultParagraphFont"/>
    <w:rsid w:val="00902DAB"/>
    <w:rPr>
      <w:color w:val="0563C1" w:themeColor="hyperlink"/>
      <w:u w:val="single"/>
    </w:rPr>
  </w:style>
  <w:style w:type="paragraph" w:styleId="NormalWeb">
    <w:name w:val="Normal (Web)"/>
    <w:basedOn w:val="Normal"/>
    <w:uiPriority w:val="99"/>
    <w:rsid w:val="00902DAB"/>
  </w:style>
  <w:style w:type="paragraph" w:styleId="BalloonText">
    <w:name w:val="Balloon Text"/>
    <w:basedOn w:val="Normal"/>
    <w:link w:val="BalloonTextChar"/>
    <w:semiHidden/>
    <w:unhideWhenUsed/>
    <w:rsid w:val="00832272"/>
    <w:rPr>
      <w:rFonts w:ascii="Segoe UI" w:hAnsi="Segoe UI" w:cs="Segoe UI"/>
      <w:sz w:val="18"/>
      <w:szCs w:val="18"/>
    </w:rPr>
  </w:style>
  <w:style w:type="character" w:customStyle="1" w:styleId="BalloonTextChar">
    <w:name w:val="Balloon Text Char"/>
    <w:basedOn w:val="DefaultParagraphFont"/>
    <w:link w:val="BalloonText"/>
    <w:semiHidden/>
    <w:rsid w:val="00832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87231">
      <w:bodyDiv w:val="1"/>
      <w:marLeft w:val="0"/>
      <w:marRight w:val="0"/>
      <w:marTop w:val="0"/>
      <w:marBottom w:val="0"/>
      <w:divBdr>
        <w:top w:val="none" w:sz="0" w:space="0" w:color="auto"/>
        <w:left w:val="none" w:sz="0" w:space="0" w:color="auto"/>
        <w:bottom w:val="none" w:sz="0" w:space="0" w:color="auto"/>
        <w:right w:val="none" w:sz="0" w:space="0" w:color="auto"/>
      </w:divBdr>
    </w:div>
    <w:div w:id="162110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BAP18</b:Tag>
    <b:SourceType>InternetSite</b:SourceType>
    <b:Guid>{FB19AA80-B843-4656-B35C-F2BE18CB0B0B}</b:Guid>
    <b:Title>Introduction to Malnutrition</b:Title>
    <b:Year>2018</b:Year>
    <b:YearAccessed>2019</b:YearAccessed>
    <b:MonthAccessed>May</b:MonthAccessed>
    <b:DayAccessed>11</b:DayAccessed>
    <b:URL>https://www.bapen.org.uk/malnutrition-undernutrition/introduction-to-malnutrition?start=2</b:URL>
    <b:Author>
      <b:Author>
        <b:Corporate>BAPEN</b:Corporate>
      </b:Author>
    </b:Author>
    <b:RefOrder>1</b:RefOrder>
  </b:Source>
  <b:Source>
    <b:Tag>GNR18</b:Tag>
    <b:SourceType>Report</b:SourceType>
    <b:Guid>{AF077F5E-C967-43BA-9EB5-6B0394493A05}</b:Guid>
    <b:Title>Global Nutrition Report: India</b:Title>
    <b:Year>2018</b:Year>
    <b:URL>https://globalnutritionreport.org/documents/91/India.pdf</b:URL>
    <b:Publisher>Development Initiatives Poverty Research Ltd</b:Publisher>
    <b:Author>
      <b:Author>
        <b:Corporate>GNR</b:Corporate>
      </b:Author>
    </b:Author>
    <b:RefOrder>2</b:RefOrder>
  </b:Source>
  <b:Source>
    <b:Tag>WHO10</b:Tag>
    <b:SourceType>Report</b:SourceType>
    <b:Guid>{712904B0-8B72-48C1-83D1-B778ED6E283A}</b:Guid>
    <b:Title>Nutrition at a Glance: India</b:Title>
    <b:Year>2010</b:Year>
    <b:Publisher>The World Bank</b:Publisher>
    <b:Author>
      <b:Author>
        <b:Corporate>WHO</b:Corporate>
      </b:Author>
    </b:Author>
    <b:URL>http://siteresources.worldbank.org/NUTRITION/Resources/281846-1271963823772/India.pdf</b:URL>
    <b:RefOrder>3</b:RefOrder>
  </b:Source>
  <b:Source>
    <b:Tag>Sal18</b:Tag>
    <b:SourceType>InternetSite</b:SourceType>
    <b:Guid>{E8F22738-0BE5-4FC7-8B09-4C2C4B53264B}</b:Guid>
    <b:Title>How Do We Address the Alarmingly High Malnutrition Rate in India?</b:Title>
    <b:Year>2018</b:Year>
    <b:Author>
      <b:Author>
        <b:NameList>
          <b:Person>
            <b:Last>Gautam</b:Last>
            <b:First>Saloni</b:First>
          </b:Person>
          <b:Person>
            <b:Last>Mishra</b:Last>
            <b:First>Pushpendra</b:First>
            <b:Middle>Kumar</b:Middle>
          </b:Person>
        </b:NameList>
      </b:Author>
    </b:Author>
    <b:YearAccessed>2019</b:YearAccessed>
    <b:MonthAccessed>May</b:MonthAccessed>
    <b:DayAccessed>11</b:DayAccessed>
    <b:URL>https://fit.thequint.com/health-news/malnutrition-in-india</b:URL>
    <b:RefOrder>14</b:RefOrder>
  </b:Source>
  <b:Source>
    <b:Tag>Wor13</b:Tag>
    <b:SourceType>InternetSite</b:SourceType>
    <b:Guid>{CDA3EA01-E4C2-4EB4-814A-02AFA757267F}</b:Guid>
    <b:Author>
      <b:Author>
        <b:Corporate>World Bank</b:Corporate>
      </b:Author>
    </b:Author>
    <b:Title>Helping India Combat Persistently High Rates of Malnutrition</b:Title>
    <b:Year>2013</b:Year>
    <b:YearAccessed>2019</b:YearAccessed>
    <b:MonthAccessed>May</b:MonthAccessed>
    <b:DayAccessed>11</b:DayAccessed>
    <b:URL>http://www.worldbank.org/en/news/feature/2013/05/13/helping-india-combat-persistently-high-rates-of-malnutrition</b:URL>
    <b:RefOrder>4</b:RefOrder>
  </b:Source>
  <b:Source>
    <b:Tag>Wor12</b:Tag>
    <b:SourceType>Report</b:SourceType>
    <b:Guid>{854A9FBE-8961-4DE5-A488-A5011124C501}</b:Guid>
    <b:Title>India - Integrated Child Development Services (ICDS) Systems Strengthening and Nutrition Improvement Program</b:Title>
    <b:Year>2012</b:Year>
    <b:URL>http://documents.worldbank.org/curated/en/991941468258860237/pdf/593880PAD0P12100900IDA0R20120020101.pdf</b:URL>
    <b:Author>
      <b:Author>
        <b:Corporate>World Bank</b:Corporate>
      </b:Author>
    </b:Author>
    <b:Publisher>World Bank</b:Publisher>
    <b:City>Washington, DC</b:City>
    <b:ThesisType>ISSNIP Project</b:ThesisType>
    <b:RefOrder>13</b:RefOrder>
  </b:Source>
  <b:Source>
    <b:Tag>Kan10</b:Tag>
    <b:SourceType>JournalArticle</b:SourceType>
    <b:Guid>{AC06D878-9D43-43F3-8D81-E09CF287F241}</b:Guid>
    <b:Title>Nutritional status of children in India: household socio-economic condition as the contextual determinant</b:Title>
    <b:Year>2010</b:Year>
    <b:Author>
      <b:Author>
        <b:NameList>
          <b:Person>
            <b:Last>Kanjilal</b:Last>
            <b:First>Barun</b:First>
          </b:Person>
          <b:Person>
            <b:Last>Mazumdar</b:Last>
            <b:First>Papiya</b:First>
            <b:Middle>Guha</b:Middle>
          </b:Person>
          <b:Person>
            <b:Last>Mukherjee</b:Last>
            <b:First>Moumita</b:First>
          </b:Person>
          <b:Person>
            <b:Last>Rahman</b:Last>
            <b:First>M</b:First>
            <b:Middle>Hafizur</b:Middle>
          </b:Person>
        </b:NameList>
      </b:Author>
    </b:Author>
    <b:JournalName>International Journal for Equity in Health</b:JournalName>
    <b:Pages>1-13</b:Pages>
    <b:Volume>9</b:Volume>
    <b:Issue>19</b:Issue>
    <b:URL>https://dx.doi.org/10.1186%2F1475-9276-9-19</b:URL>
    <b:RefOrder>8</b:RefOrder>
  </b:Source>
  <b:Source>
    <b:Tag>Pat14</b:Tag>
    <b:SourceType>JournalArticle</b:SourceType>
    <b:Guid>{E61B4805-11F1-4C98-82CD-92E7D6EA44CD}</b:Guid>
    <b:Author>
      <b:Author>
        <b:NameList>
          <b:Person>
            <b:Last>Patil</b:Last>
            <b:First>YP</b:First>
          </b:Person>
          <b:Person>
            <b:Last>Shinde</b:Last>
            <b:First>RL</b:First>
          </b:Person>
        </b:NameList>
      </b:Author>
    </b:Author>
    <b:Title>Undernutrition among Indian men: a study based on NFHS-3.</b:Title>
    <b:JournalName>American Journal of Men's Health</b:JournalName>
    <b:Year>2014</b:Year>
    <b:Pages>492-502</b:Pages>
    <b:Volume>8</b:Volume>
    <b:Issue>6</b:Issue>
    <b:DOI>10.1177/1557988314525193</b:DOI>
    <b:RefOrder>9</b:RefOrder>
  </b:Source>
  <b:Source>
    <b:Tag>MYo11</b:Tag>
    <b:SourceType>JournalArticle</b:SourceType>
    <b:Guid>{89034E79-0D3F-4268-9DDE-2FD49C520A84}</b:Guid>
    <b:Author>
      <b:Author>
        <b:NameList>
          <b:Person>
            <b:Last>M. Yount</b:Last>
            <b:First>Kathryn</b:First>
          </b:Person>
          <b:Person>
            <b:Last>DiGirolamo</b:Last>
            <b:First>Ann</b:First>
            <b:Middle>M.</b:Middle>
          </b:Person>
          <b:Person>
            <b:Last>Ramakrishnan</b:Last>
            <b:First>Usha</b:First>
          </b:Person>
        </b:NameList>
      </b:Author>
    </b:Author>
    <b:Title>Impacts of domestic violence on child growth and nutrition: A conceptual review of the pathways of influence</b:Title>
    <b:JournalName>Social Science &amp; Medicine</b:JournalName>
    <b:Year>2011</b:Year>
    <b:Pages>1534-1554</b:Pages>
    <b:Volume>72</b:Volume>
    <b:Issue>9</b:Issue>
    <b:URL>https://doi.org/10.1016/j.socscimed.2011.02.042</b:URL>
    <b:RefOrder>10</b:RefOrder>
  </b:Source>
  <b:Source>
    <b:Tag>Nar18</b:Tag>
    <b:SourceType>JournalArticle</b:SourceType>
    <b:Guid>{D2DFC13B-18C1-4056-B8F6-CBC46DD12A32}</b:Guid>
    <b:Author>
      <b:Author>
        <b:NameList>
          <b:Person>
            <b:Last>Narayan</b:Last>
            <b:First>Jitendra</b:First>
          </b:Person>
          <b:Person>
            <b:Last>John</b:Last>
            <b:First>Denny</b:First>
          </b:Person>
          <b:Person>
            <b:Last>Ramadas</b:Last>
            <b:First>Nirupama</b:First>
          </b:Person>
        </b:NameList>
      </b:Author>
    </b:Author>
    <b:Title>Malnutrition in India: status and government</b:Title>
    <b:JournalName>Journal of Public Healh Policy</b:JournalName>
    <b:Year>2018</b:Year>
    <b:Pages>126-141</b:Pages>
    <b:Volume>40</b:Volume>
    <b:Issue>1</b:Issue>
    <b:URL>https://doi.org/10.1057/s41271-018-0149-5</b:URL>
    <b:RefOrder>6</b:RefOrder>
  </b:Source>
  <b:Source>
    <b:Tag>Hul16</b:Tag>
    <b:SourceType>InternetSite</b:SourceType>
    <b:Guid>{43145590-38DB-4CE0-AB70-3120F3B2BE79}</b:Guid>
    <b:Title>Child Undernutrition in India: A Gender Issue</b:Title>
    <b:Year>2016</b:Year>
    <b:Author>
      <b:Author>
        <b:NameList>
          <b:Person>
            <b:Last>Hulshof</b:Last>
            <b:First>Karin</b:First>
          </b:Person>
        </b:NameList>
      </b:Author>
    </b:Author>
    <b:YearAccessed>2019</b:YearAccessed>
    <b:MonthAccessed>May</b:MonthAccessed>
    <b:DayAccessed>11</b:DayAccessed>
    <b:URL>http://unicef.in/Story/108/Child-Undernutrition-in-India-A-Gender-Issue</b:URL>
    <b:RefOrder>5</b:RefOrder>
  </b:Source>
  <b:Source>
    <b:Tag>UNI13</b:Tag>
    <b:SourceType>Report</b:SourceType>
    <b:Guid>{59059934-B3E5-46F6-A5AE-98915ECB1D3A}</b:Guid>
    <b:Title>Improving Child Nutrition: The achievable imperative for global progress</b:Title>
    <b:Year>2013</b:Year>
    <b:URL>https://www.unicef.org/gambia/Improving_Child_Nutrition_-_the_achievable_imperative_for_global_progress.pdf</b:URL>
    <b:Author>
      <b:Author>
        <b:Corporate>UNICEF</b:Corporate>
      </b:Author>
    </b:Author>
    <b:Publisher>United Nations Children’s Fund</b:Publisher>
    <b:City>New York, NY</b:City>
    <b:RefOrder>7</b:RefOrder>
  </b:Source>
  <b:Source>
    <b:Tag>Ans15</b:Tag>
    <b:SourceType>BookSection</b:SourceType>
    <b:Guid>{56065A97-5C3A-413E-B8C3-B18B94AD051B}</b:Guid>
    <b:Title>Childhood Malnutrition in India</b:Title>
    <b:Year>2015</b:Year>
    <b:Publisher>Springer Publishing Company</b:Publisher>
    <b:City>New York, NY</b:City>
    <b:Author>
      <b:Author>
        <b:NameList>
          <b:Person>
            <b:Last>Bengre</b:Last>
            <b:First>Ansuya</b:First>
          </b:Person>
        </b:NameList>
      </b:Author>
      <b:Editor>
        <b:NameList>
          <b:Person>
            <b:Last>Breakey</b:Last>
            <b:First>Suellen</b:First>
          </b:Person>
          <b:Person>
            <b:Last>Meedzan</b:Last>
            <b:First>Nancy</b:First>
            <b:Middle>L.</b:Middle>
          </b:Person>
          <b:Person>
            <b:Last>Corless</b:Last>
            <b:First>Inge</b:First>
            <b:Middle>B.</b:Middle>
          </b:Person>
          <b:Person>
            <b:Last>Nicholas</b:Last>
            <b:First>Patrice</b:First>
            <b:Middle>K.</b:Middle>
          </b:Person>
        </b:NameList>
      </b:Editor>
    </b:Author>
    <b:BookTitle>Global Health Nursing in the 21st Century</b:BookTitle>
    <b:Pages>281-305</b:Pages>
    <b:RefOrder>11</b:RefOrder>
  </b:Source>
  <b:Source>
    <b:Tag>Sah16</b:Tag>
    <b:SourceType>JournalArticle</b:SourceType>
    <b:Guid>{67620171-DD3C-4B1A-8CD9-760347861F3D}</b:Guid>
    <b:Title>Operational Assessment of ICDS Scheme at Grass Root Level in a Rural Area of Eastern India: Time to Introspect</b:Title>
    <b:Year>2016</b:Year>
    <b:Pages>28-32</b:Pages>
    <b:Author>
      <b:Author>
        <b:NameList>
          <b:Person>
            <b:Last>Sahoo</b:Last>
            <b:First>Jyotiranjan</b:First>
          </b:Person>
          <b:Person>
            <b:Last>Mahajan</b:Last>
            <b:First>Preetam</b:First>
            <b:Middle>B</b:Middle>
          </b:Person>
          <b:Person>
            <b:Last>Paul</b:Last>
            <b:First>Sourabh</b:First>
          </b:Person>
          <b:Person>
            <b:Last>Bhatia</b:Last>
            <b:First>Vikas</b:First>
          </b:Person>
          <b:Person>
            <b:Last>Patra</b:Last>
            <b:First>Abhinash</b:First>
            <b:Middle>K</b:Middle>
          </b:Person>
          <b:Person>
            <b:Last>Hembram</b:Last>
            <b:First>Dilip</b:First>
            <b:Middle>Kumar</b:Middle>
          </b:Person>
        </b:NameList>
      </b:Author>
    </b:Author>
    <b:JournalName>Journal of Clinical &amp; Diagnostic Research</b:JournalName>
    <b:Volume>10</b:Volume>
    <b:Issue>12</b:Issue>
    <b:URL>https://dx.doi.org/10.7860%2FJCDR%2F2016%2F23059.9041</b:URL>
    <b:RefOrder>12</b:RefOrder>
  </b:Source>
</b:Sources>
</file>

<file path=customXml/itemProps1.xml><?xml version="1.0" encoding="utf-8"?>
<ds:datastoreItem xmlns:ds="http://schemas.openxmlformats.org/officeDocument/2006/customXml" ds:itemID="{116C61A8-3237-407A-BDCE-77666ABA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ABC</cp:lastModifiedBy>
  <cp:revision>4</cp:revision>
  <dcterms:created xsi:type="dcterms:W3CDTF">2026-04-30T15:33:00Z</dcterms:created>
  <dcterms:modified xsi:type="dcterms:W3CDTF">2026-04-30T16:04:00Z</dcterms:modified>
</cp:coreProperties>
</file>