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856AC4"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5F5DEAEB"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310A342E"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6F809762"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333C802A"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330DA4F3" w14:textId="77777777" w:rsidR="00CC4140" w:rsidRPr="00F559B2" w:rsidRDefault="00CC4140" w:rsidP="00F84B7D">
      <w:pPr>
        <w:spacing w:line="480" w:lineRule="auto"/>
        <w:ind w:firstLine="720"/>
        <w:jc w:val="center"/>
        <w:rPr>
          <w:rFonts w:ascii="Times New Roman" w:eastAsia="Times New Roman" w:hAnsi="Times New Roman" w:cs="Times New Roman"/>
          <w:b/>
          <w:bCs/>
          <w:sz w:val="24"/>
          <w:szCs w:val="24"/>
        </w:rPr>
      </w:pPr>
    </w:p>
    <w:p w14:paraId="376F5CAF" w14:textId="781F5595" w:rsidR="00F103AF" w:rsidRDefault="00FB4ED5" w:rsidP="00F84B7D">
      <w:pPr>
        <w:spacing w:line="480" w:lineRule="auto"/>
        <w:ind w:firstLine="720"/>
        <w:jc w:val="center"/>
        <w:rPr>
          <w:rFonts w:ascii="Times New Roman" w:hAnsi="Times New Roman" w:cs="Times New Roman"/>
          <w:b/>
          <w:bCs/>
          <w:sz w:val="24"/>
          <w:szCs w:val="24"/>
        </w:rPr>
      </w:pPr>
      <w:r w:rsidRPr="00FB4ED5">
        <w:rPr>
          <w:rFonts w:ascii="Times New Roman" w:hAnsi="Times New Roman" w:cs="Times New Roman"/>
          <w:b/>
          <w:bCs/>
          <w:sz w:val="24"/>
          <w:szCs w:val="24"/>
        </w:rPr>
        <w:t xml:space="preserve">Generations &amp; </w:t>
      </w:r>
      <w:proofErr w:type="spellStart"/>
      <w:r w:rsidRPr="00FB4ED5">
        <w:rPr>
          <w:rFonts w:ascii="Times New Roman" w:hAnsi="Times New Roman" w:cs="Times New Roman"/>
          <w:b/>
          <w:bCs/>
          <w:sz w:val="24"/>
          <w:szCs w:val="24"/>
        </w:rPr>
        <w:t>Defenses</w:t>
      </w:r>
      <w:proofErr w:type="spellEnd"/>
      <w:r w:rsidRPr="00FB4ED5">
        <w:rPr>
          <w:rFonts w:ascii="Times New Roman" w:hAnsi="Times New Roman" w:cs="Times New Roman"/>
          <w:b/>
          <w:bCs/>
          <w:sz w:val="24"/>
          <w:szCs w:val="24"/>
        </w:rPr>
        <w:t>: A Family &amp; Community Biology Quilt</w:t>
      </w:r>
    </w:p>
    <w:p w14:paraId="305F7ABB" w14:textId="77777777" w:rsidR="00FB4ED5" w:rsidRPr="00F559B2" w:rsidRDefault="00FB4ED5" w:rsidP="00F84B7D">
      <w:pPr>
        <w:spacing w:line="480" w:lineRule="auto"/>
        <w:ind w:firstLine="720"/>
        <w:jc w:val="center"/>
        <w:rPr>
          <w:rFonts w:ascii="Times New Roman" w:eastAsia="Times New Roman" w:hAnsi="Times New Roman" w:cs="Times New Roman"/>
          <w:sz w:val="24"/>
          <w:szCs w:val="24"/>
        </w:rPr>
      </w:pPr>
    </w:p>
    <w:p w14:paraId="4643785F" w14:textId="77777777" w:rsidR="00FB4A59" w:rsidRPr="00F559B2" w:rsidRDefault="00000000" w:rsidP="00F84B7D">
      <w:pPr>
        <w:spacing w:line="480" w:lineRule="auto"/>
        <w:jc w:val="center"/>
        <w:rPr>
          <w:rFonts w:ascii="Times New Roman" w:eastAsia="Times New Roman" w:hAnsi="Times New Roman" w:cs="Times New Roman"/>
          <w:sz w:val="24"/>
          <w:szCs w:val="24"/>
        </w:rPr>
      </w:pPr>
      <w:r w:rsidRPr="00F559B2">
        <w:rPr>
          <w:rFonts w:ascii="Times New Roman" w:eastAsia="Times New Roman" w:hAnsi="Times New Roman" w:cs="Times New Roman"/>
          <w:sz w:val="24"/>
          <w:szCs w:val="24"/>
        </w:rPr>
        <w:t>Name of Author</w:t>
      </w:r>
    </w:p>
    <w:p w14:paraId="256DA357" w14:textId="77777777" w:rsidR="00FB4A59" w:rsidRPr="00F559B2" w:rsidRDefault="00000000" w:rsidP="00F84B7D">
      <w:pPr>
        <w:spacing w:line="480" w:lineRule="auto"/>
        <w:jc w:val="center"/>
        <w:rPr>
          <w:rFonts w:ascii="Times New Roman" w:eastAsia="Times New Roman" w:hAnsi="Times New Roman" w:cs="Times New Roman"/>
          <w:sz w:val="24"/>
          <w:szCs w:val="24"/>
        </w:rPr>
      </w:pPr>
      <w:r w:rsidRPr="00F559B2">
        <w:rPr>
          <w:rFonts w:ascii="Times New Roman" w:eastAsia="Times New Roman" w:hAnsi="Times New Roman" w:cs="Times New Roman"/>
          <w:sz w:val="24"/>
          <w:szCs w:val="24"/>
        </w:rPr>
        <w:t>Instructor Name</w:t>
      </w:r>
    </w:p>
    <w:p w14:paraId="7A1FF760" w14:textId="77777777" w:rsidR="00FB4A59" w:rsidRPr="00F559B2" w:rsidRDefault="00000000" w:rsidP="00F84B7D">
      <w:pPr>
        <w:spacing w:line="480" w:lineRule="auto"/>
        <w:jc w:val="center"/>
        <w:rPr>
          <w:rFonts w:ascii="Times New Roman" w:eastAsia="Times New Roman" w:hAnsi="Times New Roman" w:cs="Times New Roman"/>
          <w:sz w:val="24"/>
          <w:szCs w:val="24"/>
        </w:rPr>
      </w:pPr>
      <w:r w:rsidRPr="00F559B2">
        <w:rPr>
          <w:rFonts w:ascii="Times New Roman" w:eastAsia="Times New Roman" w:hAnsi="Times New Roman" w:cs="Times New Roman"/>
          <w:sz w:val="24"/>
          <w:szCs w:val="24"/>
        </w:rPr>
        <w:t>Institutional Affiliation</w:t>
      </w:r>
    </w:p>
    <w:p w14:paraId="3762159C" w14:textId="77777777" w:rsidR="00FB4A59" w:rsidRPr="00F559B2" w:rsidRDefault="00000000" w:rsidP="00F84B7D">
      <w:pPr>
        <w:spacing w:line="480" w:lineRule="auto"/>
        <w:jc w:val="center"/>
        <w:rPr>
          <w:rFonts w:ascii="Times New Roman" w:eastAsia="Times New Roman" w:hAnsi="Times New Roman" w:cs="Times New Roman"/>
          <w:sz w:val="24"/>
          <w:szCs w:val="24"/>
        </w:rPr>
      </w:pPr>
      <w:r w:rsidRPr="00F559B2">
        <w:rPr>
          <w:rFonts w:ascii="Times New Roman" w:eastAsia="Times New Roman" w:hAnsi="Times New Roman" w:cs="Times New Roman"/>
          <w:sz w:val="24"/>
          <w:szCs w:val="24"/>
        </w:rPr>
        <w:t>Course Code and Number</w:t>
      </w:r>
    </w:p>
    <w:p w14:paraId="48E3E5B3" w14:textId="77777777" w:rsidR="00D832DD" w:rsidRPr="00F559B2" w:rsidRDefault="00000000" w:rsidP="00F84B7D">
      <w:pPr>
        <w:spacing w:line="480" w:lineRule="auto"/>
        <w:jc w:val="center"/>
        <w:rPr>
          <w:rFonts w:ascii="Times New Roman" w:eastAsia="Times New Roman" w:hAnsi="Times New Roman" w:cs="Times New Roman"/>
          <w:sz w:val="24"/>
          <w:szCs w:val="24"/>
        </w:rPr>
      </w:pPr>
      <w:r w:rsidRPr="00F559B2">
        <w:rPr>
          <w:rFonts w:ascii="Times New Roman" w:eastAsia="Times New Roman" w:hAnsi="Times New Roman" w:cs="Times New Roman"/>
          <w:sz w:val="24"/>
          <w:szCs w:val="24"/>
        </w:rPr>
        <w:t>Date of Submission</w:t>
      </w:r>
    </w:p>
    <w:p w14:paraId="3B9C0D34" w14:textId="77777777" w:rsidR="00EF46EA" w:rsidRDefault="00EF46EA" w:rsidP="00F84B7D">
      <w:pPr>
        <w:spacing w:line="480" w:lineRule="auto"/>
      </w:pPr>
      <w:r>
        <w:br w:type="page"/>
      </w:r>
    </w:p>
    <w:p w14:paraId="5AF760D4" w14:textId="77777777" w:rsidR="00FB4ED5" w:rsidRDefault="00FB4ED5" w:rsidP="00F84B7D">
      <w:pPr>
        <w:spacing w:line="480" w:lineRule="auto"/>
        <w:ind w:left="720" w:hanging="720"/>
        <w:jc w:val="center"/>
        <w:rPr>
          <w:rFonts w:ascii="Times New Roman" w:hAnsi="Times New Roman" w:cs="Times New Roman"/>
          <w:b/>
          <w:bCs/>
          <w:sz w:val="24"/>
          <w:szCs w:val="24"/>
        </w:rPr>
      </w:pPr>
      <w:r w:rsidRPr="00FB4ED5">
        <w:rPr>
          <w:rFonts w:ascii="Times New Roman" w:hAnsi="Times New Roman" w:cs="Times New Roman"/>
          <w:b/>
          <w:bCs/>
          <w:sz w:val="24"/>
          <w:szCs w:val="24"/>
        </w:rPr>
        <w:lastRenderedPageBreak/>
        <w:t xml:space="preserve">Generations &amp; </w:t>
      </w:r>
      <w:proofErr w:type="spellStart"/>
      <w:r w:rsidRPr="00FB4ED5">
        <w:rPr>
          <w:rFonts w:ascii="Times New Roman" w:hAnsi="Times New Roman" w:cs="Times New Roman"/>
          <w:b/>
          <w:bCs/>
          <w:sz w:val="24"/>
          <w:szCs w:val="24"/>
        </w:rPr>
        <w:t>Defenses</w:t>
      </w:r>
      <w:proofErr w:type="spellEnd"/>
      <w:r w:rsidRPr="00FB4ED5">
        <w:rPr>
          <w:rFonts w:ascii="Times New Roman" w:hAnsi="Times New Roman" w:cs="Times New Roman"/>
          <w:b/>
          <w:bCs/>
          <w:sz w:val="24"/>
          <w:szCs w:val="24"/>
        </w:rPr>
        <w:t>: A Family &amp; Community Biology Quilt</w:t>
      </w:r>
    </w:p>
    <w:p w14:paraId="46B4AD3A" w14:textId="77777777" w:rsidR="00152D5B" w:rsidRDefault="00FB4ED5" w:rsidP="00F84B7D">
      <w:pPr>
        <w:spacing w:line="480" w:lineRule="auto"/>
        <w:rPr>
          <w:rFonts w:ascii="Times New Roman" w:hAnsi="Times New Roman" w:cs="Times New Roman"/>
          <w:b/>
          <w:bCs/>
          <w:sz w:val="24"/>
          <w:szCs w:val="24"/>
          <w:lang w:val="en-US"/>
        </w:rPr>
      </w:pPr>
      <w:r w:rsidRPr="00FB4ED5">
        <w:rPr>
          <w:rFonts w:ascii="Times New Roman" w:hAnsi="Times New Roman" w:cs="Times New Roman"/>
          <w:b/>
          <w:bCs/>
          <w:sz w:val="24"/>
          <w:szCs w:val="24"/>
          <w:lang w:val="en-US"/>
        </w:rPr>
        <w:t xml:space="preserve">Cultivating Continuity: Plant Reproduction </w:t>
      </w:r>
    </w:p>
    <w:p w14:paraId="5DBFE922" w14:textId="3AEB6F90" w:rsidR="0018030E" w:rsidRPr="0018030E" w:rsidRDefault="0018030E" w:rsidP="00F84B7D">
      <w:pPr>
        <w:spacing w:line="480" w:lineRule="auto"/>
        <w:jc w:val="center"/>
        <w:rPr>
          <w:rFonts w:ascii="Times New Roman" w:hAnsi="Times New Roman" w:cs="Times New Roman"/>
          <w:b/>
          <w:bCs/>
          <w:sz w:val="24"/>
          <w:szCs w:val="24"/>
          <w:lang w:val="en-US"/>
        </w:rPr>
      </w:pPr>
      <w:r w:rsidRPr="0018030E">
        <w:rPr>
          <w:rFonts w:ascii="Times New Roman" w:hAnsi="Times New Roman" w:cs="Times New Roman"/>
          <w:b/>
          <w:bCs/>
          <w:sz w:val="24"/>
          <w:szCs w:val="24"/>
          <w:lang w:val="en-US"/>
        </w:rPr>
        <w:drawing>
          <wp:inline distT="0" distB="0" distL="0" distR="0" wp14:anchorId="57F499DF" wp14:editId="3986FDEE">
            <wp:extent cx="1143000" cy="1632855"/>
            <wp:effectExtent l="0" t="0" r="0" b="5715"/>
            <wp:docPr id="8128866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6981" cy="1638542"/>
                    </a:xfrm>
                    <a:prstGeom prst="rect">
                      <a:avLst/>
                    </a:prstGeom>
                    <a:noFill/>
                    <a:ln>
                      <a:noFill/>
                    </a:ln>
                  </pic:spPr>
                </pic:pic>
              </a:graphicData>
            </a:graphic>
          </wp:inline>
        </w:drawing>
      </w:r>
    </w:p>
    <w:p w14:paraId="4910355C" w14:textId="51AB73D1" w:rsidR="004C02E3" w:rsidRPr="004C02E3" w:rsidRDefault="0018030E" w:rsidP="00F84B7D">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ab/>
      </w:r>
      <w:r w:rsidR="004C02E3" w:rsidRPr="004C02E3">
        <w:rPr>
          <w:rFonts w:ascii="Times New Roman" w:hAnsi="Times New Roman" w:cs="Times New Roman"/>
          <w:sz w:val="24"/>
          <w:szCs w:val="24"/>
          <w:lang w:val="en-US"/>
        </w:rPr>
        <w:t xml:space="preserve">Southern University Agriculture Center represents </w:t>
      </w:r>
      <w:proofErr w:type="gramStart"/>
      <w:r w:rsidR="004C02E3" w:rsidRPr="004C02E3">
        <w:rPr>
          <w:rFonts w:ascii="Times New Roman" w:hAnsi="Times New Roman" w:cs="Times New Roman"/>
          <w:sz w:val="24"/>
          <w:szCs w:val="24"/>
          <w:lang w:val="en-US"/>
        </w:rPr>
        <w:t>Biological</w:t>
      </w:r>
      <w:proofErr w:type="gramEnd"/>
      <w:r w:rsidR="004C02E3" w:rsidRPr="004C02E3">
        <w:rPr>
          <w:rFonts w:ascii="Times New Roman" w:hAnsi="Times New Roman" w:cs="Times New Roman"/>
          <w:sz w:val="24"/>
          <w:szCs w:val="24"/>
          <w:lang w:val="en-US"/>
        </w:rPr>
        <w:t xml:space="preserve"> propagation through cultivating seedlings, which is the basic mechanism of survival of the species and continuity of genetic information. This will be culturally equivalent to generational development at Southern University, Baton Rouge (SUBR), thus ensuring a </w:t>
      </w:r>
      <w:proofErr w:type="gramStart"/>
      <w:r w:rsidR="004C02E3" w:rsidRPr="004C02E3">
        <w:rPr>
          <w:rFonts w:ascii="Times New Roman" w:hAnsi="Times New Roman" w:cs="Times New Roman"/>
          <w:sz w:val="24"/>
          <w:szCs w:val="24"/>
          <w:lang w:val="en-US"/>
        </w:rPr>
        <w:t>consistent  local</w:t>
      </w:r>
      <w:proofErr w:type="gramEnd"/>
      <w:r w:rsidR="004C02E3" w:rsidRPr="004C02E3">
        <w:rPr>
          <w:rFonts w:ascii="Times New Roman" w:hAnsi="Times New Roman" w:cs="Times New Roman"/>
          <w:sz w:val="24"/>
          <w:szCs w:val="24"/>
          <w:lang w:val="en-US"/>
        </w:rPr>
        <w:t xml:space="preserve"> food supply is maintained, and the transfer of strong plant genetics towards future generations to maintain agricultural populations is achieved.</w:t>
      </w:r>
    </w:p>
    <w:p w14:paraId="485B5DBD" w14:textId="36CE256F" w:rsidR="00FB4ED5" w:rsidRDefault="00FB4ED5" w:rsidP="00F84B7D">
      <w:pPr>
        <w:spacing w:line="480" w:lineRule="auto"/>
        <w:rPr>
          <w:rFonts w:ascii="Times New Roman" w:hAnsi="Times New Roman" w:cs="Times New Roman"/>
          <w:b/>
          <w:bCs/>
          <w:sz w:val="24"/>
          <w:szCs w:val="24"/>
          <w:lang w:val="en-US"/>
        </w:rPr>
      </w:pPr>
      <w:r w:rsidRPr="00FB4ED5">
        <w:rPr>
          <w:rFonts w:ascii="Times New Roman" w:hAnsi="Times New Roman" w:cs="Times New Roman"/>
          <w:b/>
          <w:bCs/>
          <w:sz w:val="24"/>
          <w:szCs w:val="24"/>
          <w:lang w:val="en-US"/>
        </w:rPr>
        <w:t>Fueling the Defense: Nutritional Immunity</w:t>
      </w:r>
    </w:p>
    <w:p w14:paraId="78DC770D" w14:textId="4B1447E4" w:rsidR="00B3152D" w:rsidRPr="00B3152D" w:rsidRDefault="00B3152D" w:rsidP="00F84B7D">
      <w:pPr>
        <w:spacing w:line="480" w:lineRule="auto"/>
        <w:jc w:val="center"/>
        <w:rPr>
          <w:rFonts w:ascii="Times New Roman" w:hAnsi="Times New Roman" w:cs="Times New Roman"/>
          <w:b/>
          <w:bCs/>
          <w:sz w:val="24"/>
          <w:szCs w:val="24"/>
          <w:lang w:val="en-US"/>
        </w:rPr>
      </w:pPr>
      <w:r w:rsidRPr="00B3152D">
        <w:rPr>
          <w:rFonts w:ascii="Times New Roman" w:hAnsi="Times New Roman" w:cs="Times New Roman"/>
          <w:b/>
          <w:bCs/>
          <w:sz w:val="24"/>
          <w:szCs w:val="24"/>
          <w:lang w:val="en-US"/>
        </w:rPr>
        <w:drawing>
          <wp:inline distT="0" distB="0" distL="0" distR="0" wp14:anchorId="5BFC4B2A" wp14:editId="24537CE0">
            <wp:extent cx="2495550" cy="1871663"/>
            <wp:effectExtent l="0" t="0" r="0" b="0"/>
            <wp:docPr id="480179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97374" cy="1873031"/>
                    </a:xfrm>
                    <a:prstGeom prst="rect">
                      <a:avLst/>
                    </a:prstGeom>
                    <a:noFill/>
                    <a:ln>
                      <a:noFill/>
                    </a:ln>
                  </pic:spPr>
                </pic:pic>
              </a:graphicData>
            </a:graphic>
          </wp:inline>
        </w:drawing>
      </w:r>
    </w:p>
    <w:p w14:paraId="1F5C4CE0" w14:textId="08F4F0AD" w:rsidR="004C02E3" w:rsidRDefault="00B3152D" w:rsidP="00F84B7D">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ab/>
      </w:r>
      <w:r w:rsidR="004C02E3" w:rsidRPr="004C02E3">
        <w:rPr>
          <w:rFonts w:ascii="Times New Roman" w:hAnsi="Times New Roman" w:cs="Times New Roman"/>
          <w:sz w:val="24"/>
          <w:szCs w:val="24"/>
          <w:lang w:val="en-US"/>
        </w:rPr>
        <w:t>The Baton Rouge farmers' market demonstrates the crucial crossroads of community resources and biological immune health. The human immune system is highly dependent on regular uptake of micronutrients to work best. Local, fresh products are rich in vitamins and antioxidants that regulate the activity of leukocytes and prevent the host cells in extreme oxidative stress, thus playing an active role in supporting the innate defenses of the organism (</w:t>
      </w:r>
      <w:proofErr w:type="spellStart"/>
      <w:r w:rsidR="004C02E3" w:rsidRPr="004C02E3">
        <w:rPr>
          <w:rFonts w:ascii="Times New Roman" w:hAnsi="Times New Roman" w:cs="Times New Roman"/>
          <w:sz w:val="24"/>
          <w:szCs w:val="24"/>
          <w:lang w:val="en-US"/>
        </w:rPr>
        <w:t>Doaei</w:t>
      </w:r>
      <w:proofErr w:type="spellEnd"/>
      <w:r w:rsidR="004C02E3" w:rsidRPr="004C02E3">
        <w:rPr>
          <w:rFonts w:ascii="Times New Roman" w:hAnsi="Times New Roman" w:cs="Times New Roman"/>
          <w:sz w:val="24"/>
          <w:szCs w:val="24"/>
          <w:lang w:val="en-US"/>
        </w:rPr>
        <w:t xml:space="preserve"> et al., 2023). The market enables the provision of these essential nutrients, thereby providing macro-level community defense mechanisms to aid in the prevention of microscopic diseases.</w:t>
      </w:r>
    </w:p>
    <w:p w14:paraId="51686B41" w14:textId="6FD17097" w:rsidR="009A207F" w:rsidRDefault="009A207F" w:rsidP="00F84B7D">
      <w:pPr>
        <w:spacing w:line="480" w:lineRule="auto"/>
        <w:rPr>
          <w:rFonts w:ascii="Times New Roman" w:hAnsi="Times New Roman" w:cs="Times New Roman"/>
          <w:sz w:val="24"/>
          <w:szCs w:val="24"/>
        </w:rPr>
      </w:pPr>
      <w:r w:rsidRPr="009A207F">
        <w:rPr>
          <w:rFonts w:ascii="Times New Roman" w:hAnsi="Times New Roman" w:cs="Times New Roman"/>
          <w:b/>
          <w:bCs/>
          <w:sz w:val="24"/>
          <w:szCs w:val="24"/>
        </w:rPr>
        <w:t>Fostering Life: Animal Husbandry and Reproductive Science</w:t>
      </w:r>
      <w:r w:rsidRPr="009A207F">
        <w:rPr>
          <w:rFonts w:ascii="Times New Roman" w:hAnsi="Times New Roman" w:cs="Times New Roman"/>
          <w:sz w:val="24"/>
          <w:szCs w:val="24"/>
        </w:rPr>
        <w:t xml:space="preserve"> </w:t>
      </w:r>
    </w:p>
    <w:p w14:paraId="14DE963C" w14:textId="799C22E1" w:rsidR="00163E94" w:rsidRPr="00163E94" w:rsidRDefault="00163E94" w:rsidP="00F84B7D">
      <w:pPr>
        <w:spacing w:line="480" w:lineRule="auto"/>
        <w:jc w:val="center"/>
        <w:rPr>
          <w:rFonts w:ascii="Times New Roman" w:hAnsi="Times New Roman" w:cs="Times New Roman"/>
          <w:sz w:val="24"/>
          <w:szCs w:val="24"/>
          <w:lang w:val="en-US"/>
        </w:rPr>
      </w:pPr>
      <w:r w:rsidRPr="00163E94">
        <w:rPr>
          <w:rFonts w:ascii="Times New Roman" w:hAnsi="Times New Roman" w:cs="Times New Roman"/>
          <w:sz w:val="24"/>
          <w:szCs w:val="24"/>
          <w:lang w:val="en-US"/>
        </w:rPr>
        <w:drawing>
          <wp:inline distT="0" distB="0" distL="0" distR="0" wp14:anchorId="756DEB08" wp14:editId="5051FC36">
            <wp:extent cx="1495425" cy="2508051"/>
            <wp:effectExtent l="0" t="0" r="0" b="6985"/>
            <wp:docPr id="1796925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99177" cy="2514344"/>
                    </a:xfrm>
                    <a:prstGeom prst="rect">
                      <a:avLst/>
                    </a:prstGeom>
                    <a:noFill/>
                    <a:ln>
                      <a:noFill/>
                    </a:ln>
                  </pic:spPr>
                </pic:pic>
              </a:graphicData>
            </a:graphic>
          </wp:inline>
        </w:drawing>
      </w:r>
    </w:p>
    <w:p w14:paraId="418B5782" w14:textId="5B3E77CD" w:rsidR="009A207F" w:rsidRPr="004C02E3" w:rsidRDefault="00163E94" w:rsidP="00F84B7D">
      <w:pPr>
        <w:spacing w:line="480" w:lineRule="auto"/>
        <w:rPr>
          <w:rFonts w:ascii="Times New Roman" w:hAnsi="Times New Roman" w:cs="Times New Roman"/>
          <w:sz w:val="24"/>
          <w:szCs w:val="24"/>
          <w:lang w:val="en-US"/>
        </w:rPr>
      </w:pPr>
      <w:r>
        <w:rPr>
          <w:rFonts w:ascii="Times New Roman" w:hAnsi="Times New Roman" w:cs="Times New Roman"/>
          <w:sz w:val="24"/>
          <w:szCs w:val="24"/>
        </w:rPr>
        <w:tab/>
      </w:r>
      <w:r w:rsidR="009A207F" w:rsidRPr="009A207F">
        <w:rPr>
          <w:rFonts w:ascii="Times New Roman" w:hAnsi="Times New Roman" w:cs="Times New Roman"/>
          <w:sz w:val="24"/>
          <w:szCs w:val="24"/>
          <w:lang w:val="en-US"/>
        </w:rPr>
        <w:t>The pony and SU Ag student are a representation of applied reproductive science and biological continuity. This will be a selective breeding that guarantees the transfer of viable genetics across the generations, which is the promise of SUBR to maintain the traditions of agriculture and the basic biological need of species survival.</w:t>
      </w:r>
    </w:p>
    <w:p w14:paraId="3B3F2B96" w14:textId="77777777" w:rsidR="00152D5B" w:rsidRDefault="00FB4ED5" w:rsidP="00F84B7D">
      <w:pPr>
        <w:spacing w:line="480" w:lineRule="auto"/>
        <w:rPr>
          <w:rFonts w:ascii="Times New Roman" w:hAnsi="Times New Roman" w:cs="Times New Roman"/>
          <w:b/>
          <w:bCs/>
          <w:sz w:val="24"/>
          <w:szCs w:val="24"/>
          <w:lang w:val="en-US"/>
        </w:rPr>
      </w:pPr>
      <w:r w:rsidRPr="00FB4ED5">
        <w:rPr>
          <w:rFonts w:ascii="Times New Roman" w:hAnsi="Times New Roman" w:cs="Times New Roman"/>
          <w:b/>
          <w:bCs/>
          <w:sz w:val="24"/>
          <w:szCs w:val="24"/>
          <w:lang w:val="en-US"/>
        </w:rPr>
        <w:t xml:space="preserve">Agricultural Adaptation: SU's Vineyards </w:t>
      </w:r>
    </w:p>
    <w:p w14:paraId="53EEE166" w14:textId="1BD21122" w:rsidR="00163E94" w:rsidRPr="00163E94" w:rsidRDefault="00163E94" w:rsidP="00F84B7D">
      <w:pPr>
        <w:spacing w:line="480" w:lineRule="auto"/>
        <w:rPr>
          <w:rFonts w:ascii="Times New Roman" w:hAnsi="Times New Roman" w:cs="Times New Roman"/>
          <w:b/>
          <w:bCs/>
          <w:sz w:val="24"/>
          <w:szCs w:val="24"/>
          <w:lang w:val="en-US"/>
        </w:rPr>
      </w:pPr>
      <w:r w:rsidRPr="00163E94">
        <w:rPr>
          <w:rFonts w:ascii="Times New Roman" w:hAnsi="Times New Roman" w:cs="Times New Roman"/>
          <w:b/>
          <w:bCs/>
          <w:sz w:val="24"/>
          <w:szCs w:val="24"/>
          <w:lang w:val="en-US"/>
        </w:rPr>
        <w:drawing>
          <wp:inline distT="0" distB="0" distL="0" distR="0" wp14:anchorId="502C70C4" wp14:editId="6041F972">
            <wp:extent cx="3514725" cy="2261235"/>
            <wp:effectExtent l="0" t="0" r="9525" b="5715"/>
            <wp:docPr id="12118100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16062" cy="2262095"/>
                    </a:xfrm>
                    <a:prstGeom prst="rect">
                      <a:avLst/>
                    </a:prstGeom>
                    <a:noFill/>
                    <a:ln>
                      <a:noFill/>
                    </a:ln>
                  </pic:spPr>
                </pic:pic>
              </a:graphicData>
            </a:graphic>
          </wp:inline>
        </w:drawing>
      </w:r>
    </w:p>
    <w:p w14:paraId="39101DA0" w14:textId="77FD6D2B" w:rsidR="00152D5B" w:rsidRPr="004C02E3" w:rsidRDefault="00163E94" w:rsidP="00F84B7D">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ab/>
      </w:r>
      <w:r w:rsidR="004C02E3" w:rsidRPr="004C02E3">
        <w:rPr>
          <w:rFonts w:ascii="Times New Roman" w:hAnsi="Times New Roman" w:cs="Times New Roman"/>
          <w:sz w:val="24"/>
          <w:szCs w:val="24"/>
          <w:lang w:val="en-US"/>
        </w:rPr>
        <w:t>The SU vineyards relate these biological concepts to campus life. Grapevines need a lot of agricultural adaptation and physiological strength to grow in Baton Rouge with its hot climate. Grapevines need to use sophisticated biological defense systems and physiological adaptations to endure environmental stress and climate change (Konecny et al., 2025). In addition, it is essential to use specific farming interventions to mitigate excessive thermal stress to maintain such robust plant lineages (Pallotti et al., 2026). This discriminatory breeding is an ideal combination of biological science in action and community innovation.</w:t>
      </w:r>
    </w:p>
    <w:p w14:paraId="283DC708" w14:textId="2FB7CBBF" w:rsidR="00152D5B" w:rsidRDefault="00FB4ED5" w:rsidP="00F84B7D">
      <w:pPr>
        <w:spacing w:line="480" w:lineRule="auto"/>
        <w:rPr>
          <w:rFonts w:ascii="Times New Roman" w:hAnsi="Times New Roman" w:cs="Times New Roman"/>
          <w:b/>
          <w:bCs/>
          <w:sz w:val="24"/>
          <w:szCs w:val="24"/>
          <w:lang w:val="en-US"/>
        </w:rPr>
      </w:pPr>
      <w:r w:rsidRPr="00FB4ED5">
        <w:rPr>
          <w:rFonts w:ascii="Times New Roman" w:hAnsi="Times New Roman" w:cs="Times New Roman"/>
          <w:b/>
          <w:bCs/>
          <w:sz w:val="24"/>
          <w:szCs w:val="24"/>
          <w:lang w:val="en-US"/>
        </w:rPr>
        <w:t xml:space="preserve">Synthesis &amp; Connection </w:t>
      </w:r>
    </w:p>
    <w:p w14:paraId="57185B14" w14:textId="659E686B" w:rsidR="004C02E3" w:rsidRPr="004C02E3" w:rsidRDefault="004C02E3" w:rsidP="00F84B7D">
      <w:pPr>
        <w:spacing w:line="480" w:lineRule="auto"/>
        <w:rPr>
          <w:rFonts w:ascii="Times New Roman" w:hAnsi="Times New Roman" w:cs="Times New Roman"/>
          <w:sz w:val="24"/>
          <w:szCs w:val="24"/>
          <w:lang w:val="en-US"/>
        </w:rPr>
      </w:pPr>
      <w:r>
        <w:rPr>
          <w:rFonts w:ascii="Times New Roman" w:hAnsi="Times New Roman" w:cs="Times New Roman"/>
          <w:sz w:val="24"/>
          <w:szCs w:val="24"/>
          <w:lang w:val="en-US"/>
        </w:rPr>
        <w:tab/>
      </w:r>
      <w:r w:rsidRPr="004C02E3">
        <w:rPr>
          <w:rFonts w:ascii="Times New Roman" w:hAnsi="Times New Roman" w:cs="Times New Roman"/>
          <w:sz w:val="24"/>
          <w:szCs w:val="24"/>
          <w:lang w:val="en-US"/>
        </w:rPr>
        <w:t>This quilt square can be linked to my portfolio because it demonstrates how biology at the individual and cultural sphere can be related to systems and adaptations we have previously learned. Building upon the earlier units on cell structure and genetics, this entry shows how microscopic continuity is increased to physical reproduction in the SU Ag Center and how communities engage in constructing a strong immune response, exemplifying how our HBCU evolves and flourishes.</w:t>
      </w:r>
    </w:p>
    <w:p w14:paraId="105E7417" w14:textId="5CFADB04" w:rsidR="00FB4ED5" w:rsidRPr="00FB4ED5" w:rsidRDefault="00FB4ED5" w:rsidP="00F84B7D">
      <w:pPr>
        <w:spacing w:line="480" w:lineRule="auto"/>
        <w:rPr>
          <w:rFonts w:ascii="Times New Roman" w:hAnsi="Times New Roman" w:cs="Times New Roman"/>
          <w:sz w:val="24"/>
          <w:szCs w:val="24"/>
          <w:lang w:val="en-US"/>
        </w:rPr>
      </w:pPr>
    </w:p>
    <w:p w14:paraId="7F011BBB" w14:textId="77777777" w:rsidR="00FB4ED5" w:rsidRDefault="00FB4ED5" w:rsidP="00F84B7D">
      <w:pPr>
        <w:spacing w:line="480" w:lineRule="auto"/>
        <w:ind w:left="720" w:hanging="720"/>
        <w:rPr>
          <w:rFonts w:ascii="Times New Roman" w:hAnsi="Times New Roman" w:cs="Times New Roman"/>
          <w:b/>
          <w:bCs/>
          <w:sz w:val="24"/>
          <w:szCs w:val="24"/>
        </w:rPr>
      </w:pPr>
    </w:p>
    <w:p w14:paraId="3AA25461" w14:textId="77777777" w:rsidR="00FB4ED5" w:rsidRDefault="00FB4ED5" w:rsidP="00F84B7D">
      <w:pPr>
        <w:spacing w:line="480" w:lineRule="auto"/>
        <w:rPr>
          <w:rFonts w:ascii="Times New Roman" w:hAnsi="Times New Roman" w:cs="Times New Roman"/>
          <w:b/>
          <w:bCs/>
          <w:sz w:val="24"/>
          <w:szCs w:val="24"/>
        </w:rPr>
      </w:pPr>
      <w:r>
        <w:rPr>
          <w:rFonts w:ascii="Times New Roman" w:hAnsi="Times New Roman" w:cs="Times New Roman"/>
          <w:b/>
          <w:bCs/>
          <w:sz w:val="24"/>
          <w:szCs w:val="24"/>
        </w:rPr>
        <w:br w:type="page"/>
      </w:r>
    </w:p>
    <w:p w14:paraId="2CA528CE" w14:textId="4B5940D9" w:rsidR="00FB4ED5" w:rsidRDefault="00FB4ED5" w:rsidP="00F84B7D">
      <w:pPr>
        <w:spacing w:line="480" w:lineRule="auto"/>
        <w:ind w:left="720" w:hanging="720"/>
        <w:jc w:val="center"/>
        <w:rPr>
          <w:rFonts w:ascii="Times New Roman" w:hAnsi="Times New Roman" w:cs="Times New Roman"/>
          <w:b/>
          <w:bCs/>
          <w:sz w:val="24"/>
          <w:szCs w:val="24"/>
        </w:rPr>
      </w:pPr>
      <w:r>
        <w:rPr>
          <w:rFonts w:ascii="Times New Roman" w:hAnsi="Times New Roman" w:cs="Times New Roman"/>
          <w:b/>
          <w:bCs/>
          <w:sz w:val="24"/>
          <w:szCs w:val="24"/>
        </w:rPr>
        <w:t>References</w:t>
      </w:r>
    </w:p>
    <w:p w14:paraId="21EAD558" w14:textId="4EEE7256" w:rsidR="00CC4140" w:rsidRPr="00152D5B" w:rsidRDefault="00880D0E" w:rsidP="00F84B7D">
      <w:pPr>
        <w:spacing w:line="480" w:lineRule="auto"/>
        <w:ind w:left="720" w:hanging="720"/>
        <w:rPr>
          <w:rFonts w:ascii="Times New Roman" w:hAnsi="Times New Roman" w:cs="Times New Roman"/>
          <w:sz w:val="24"/>
          <w:szCs w:val="24"/>
        </w:rPr>
      </w:pPr>
      <w:proofErr w:type="spellStart"/>
      <w:r w:rsidRPr="00152D5B">
        <w:rPr>
          <w:rFonts w:ascii="Times New Roman" w:hAnsi="Times New Roman" w:cs="Times New Roman"/>
          <w:sz w:val="24"/>
          <w:szCs w:val="24"/>
        </w:rPr>
        <w:t>Doaei</w:t>
      </w:r>
      <w:proofErr w:type="spellEnd"/>
      <w:r w:rsidRPr="00152D5B">
        <w:rPr>
          <w:rFonts w:ascii="Times New Roman" w:hAnsi="Times New Roman" w:cs="Times New Roman"/>
          <w:sz w:val="24"/>
          <w:szCs w:val="24"/>
        </w:rPr>
        <w:t>, S., Mardi, A., &amp; Zare, M. (2023). Role of micronutrients in the modulation of immune system and platelet activating factor in patients with COVID-19; a narrative review. </w:t>
      </w:r>
      <w:r w:rsidRPr="00152D5B">
        <w:rPr>
          <w:rFonts w:ascii="Times New Roman" w:hAnsi="Times New Roman" w:cs="Times New Roman"/>
          <w:i/>
          <w:iCs/>
          <w:sz w:val="24"/>
          <w:szCs w:val="24"/>
        </w:rPr>
        <w:t>Frontiers in Nutrition</w:t>
      </w:r>
      <w:r w:rsidRPr="00152D5B">
        <w:rPr>
          <w:rFonts w:ascii="Times New Roman" w:hAnsi="Times New Roman" w:cs="Times New Roman"/>
          <w:sz w:val="24"/>
          <w:szCs w:val="24"/>
        </w:rPr>
        <w:t>, </w:t>
      </w:r>
      <w:r w:rsidRPr="00152D5B">
        <w:rPr>
          <w:rFonts w:ascii="Times New Roman" w:hAnsi="Times New Roman" w:cs="Times New Roman"/>
          <w:i/>
          <w:iCs/>
          <w:sz w:val="24"/>
          <w:szCs w:val="24"/>
        </w:rPr>
        <w:t>10</w:t>
      </w:r>
      <w:r w:rsidRPr="00152D5B">
        <w:rPr>
          <w:rFonts w:ascii="Times New Roman" w:hAnsi="Times New Roman" w:cs="Times New Roman"/>
          <w:sz w:val="24"/>
          <w:szCs w:val="24"/>
        </w:rPr>
        <w:t>, 1207237.</w:t>
      </w:r>
      <w:proofErr w:type="spellStart"/>
      <w:r w:rsidRPr="00152D5B">
        <w:rPr>
          <w:rFonts w:ascii="Times New Roman" w:hAnsi="Times New Roman" w:cs="Times New Roman"/>
          <w:sz w:val="24"/>
          <w:szCs w:val="24"/>
          <w:lang w:val="en-US"/>
        </w:rPr>
        <w:t>doi</w:t>
      </w:r>
      <w:proofErr w:type="spellEnd"/>
      <w:r w:rsidRPr="00152D5B">
        <w:rPr>
          <w:rFonts w:ascii="Times New Roman" w:hAnsi="Times New Roman" w:cs="Times New Roman"/>
          <w:sz w:val="24"/>
          <w:szCs w:val="24"/>
          <w:lang w:val="en-US"/>
        </w:rPr>
        <w:t>: 10.3389/fnut.2023.1207237</w:t>
      </w:r>
    </w:p>
    <w:p w14:paraId="1B7F0305" w14:textId="77777777" w:rsidR="00880D0E" w:rsidRPr="00880D0E" w:rsidRDefault="00880D0E" w:rsidP="00F84B7D">
      <w:pPr>
        <w:spacing w:line="480" w:lineRule="auto"/>
        <w:ind w:left="720" w:hanging="720"/>
        <w:rPr>
          <w:rFonts w:ascii="Times New Roman" w:hAnsi="Times New Roman" w:cs="Times New Roman"/>
          <w:sz w:val="24"/>
          <w:szCs w:val="24"/>
          <w:lang w:val="en-US"/>
        </w:rPr>
      </w:pPr>
      <w:r w:rsidRPr="00880D0E">
        <w:rPr>
          <w:rFonts w:ascii="Times New Roman" w:hAnsi="Times New Roman" w:cs="Times New Roman"/>
          <w:sz w:val="24"/>
          <w:szCs w:val="24"/>
          <w:lang w:val="en-US"/>
        </w:rPr>
        <w:t>Konecny, T., Asatryan, A., &amp; Binder, H. (2025). Responding to Stress: Diversity and Resilience of Grapevine in a Changing Climate Under the Perspective of Omics Research. </w:t>
      </w:r>
      <w:r w:rsidRPr="00880D0E">
        <w:rPr>
          <w:rFonts w:ascii="Times New Roman" w:hAnsi="Times New Roman" w:cs="Times New Roman"/>
          <w:i/>
          <w:iCs/>
          <w:sz w:val="24"/>
          <w:szCs w:val="24"/>
          <w:lang w:val="en-US"/>
        </w:rPr>
        <w:t>International Journal of Molecular Sciences</w:t>
      </w:r>
      <w:r w:rsidRPr="00880D0E">
        <w:rPr>
          <w:rFonts w:ascii="Times New Roman" w:hAnsi="Times New Roman" w:cs="Times New Roman"/>
          <w:sz w:val="24"/>
          <w:szCs w:val="24"/>
          <w:lang w:val="en-US"/>
        </w:rPr>
        <w:t>, </w:t>
      </w:r>
      <w:r w:rsidRPr="00880D0E">
        <w:rPr>
          <w:rFonts w:ascii="Times New Roman" w:hAnsi="Times New Roman" w:cs="Times New Roman"/>
          <w:i/>
          <w:iCs/>
          <w:sz w:val="24"/>
          <w:szCs w:val="24"/>
          <w:lang w:val="en-US"/>
        </w:rPr>
        <w:t>26</w:t>
      </w:r>
      <w:r w:rsidRPr="00880D0E">
        <w:rPr>
          <w:rFonts w:ascii="Times New Roman" w:hAnsi="Times New Roman" w:cs="Times New Roman"/>
          <w:sz w:val="24"/>
          <w:szCs w:val="24"/>
          <w:lang w:val="en-US"/>
        </w:rPr>
        <w:t>(16), 7877. https://doi.org/10.3390/ijms26167877</w:t>
      </w:r>
    </w:p>
    <w:p w14:paraId="5305FF47" w14:textId="77777777" w:rsidR="00880D0E" w:rsidRPr="00880D0E" w:rsidRDefault="00880D0E" w:rsidP="00F84B7D">
      <w:pPr>
        <w:spacing w:line="480" w:lineRule="auto"/>
        <w:ind w:left="720" w:hanging="720"/>
        <w:rPr>
          <w:rFonts w:ascii="Times New Roman" w:hAnsi="Times New Roman" w:cs="Times New Roman"/>
          <w:sz w:val="24"/>
          <w:szCs w:val="24"/>
          <w:lang w:val="en-US"/>
        </w:rPr>
      </w:pPr>
      <w:r w:rsidRPr="00880D0E">
        <w:rPr>
          <w:rFonts w:ascii="Times New Roman" w:hAnsi="Times New Roman" w:cs="Times New Roman"/>
          <w:sz w:val="24"/>
          <w:szCs w:val="24"/>
          <w:lang w:val="en-US"/>
        </w:rPr>
        <w:t xml:space="preserve">Pallotti, L., Lattanzi, T., Lanari, V., &amp; </w:t>
      </w:r>
      <w:proofErr w:type="spellStart"/>
      <w:r w:rsidRPr="00880D0E">
        <w:rPr>
          <w:rFonts w:ascii="Times New Roman" w:hAnsi="Times New Roman" w:cs="Times New Roman"/>
          <w:sz w:val="24"/>
          <w:szCs w:val="24"/>
          <w:lang w:val="en-US"/>
        </w:rPr>
        <w:t>Silvestroni</w:t>
      </w:r>
      <w:proofErr w:type="spellEnd"/>
      <w:r w:rsidRPr="00880D0E">
        <w:rPr>
          <w:rFonts w:ascii="Times New Roman" w:hAnsi="Times New Roman" w:cs="Times New Roman"/>
          <w:sz w:val="24"/>
          <w:szCs w:val="24"/>
          <w:lang w:val="en-US"/>
        </w:rPr>
        <w:t>, O. (2026). Assessment of the Heat-Stress-Mitigating Effect of Kaolin in Grapevine: A Comparative Study in Two Vineyards. </w:t>
      </w:r>
      <w:proofErr w:type="spellStart"/>
      <w:r w:rsidRPr="00880D0E">
        <w:rPr>
          <w:rFonts w:ascii="Times New Roman" w:hAnsi="Times New Roman" w:cs="Times New Roman"/>
          <w:i/>
          <w:iCs/>
          <w:sz w:val="24"/>
          <w:szCs w:val="24"/>
          <w:lang w:val="en-US"/>
        </w:rPr>
        <w:t>Horticulturae</w:t>
      </w:r>
      <w:proofErr w:type="spellEnd"/>
      <w:r w:rsidRPr="00880D0E">
        <w:rPr>
          <w:rFonts w:ascii="Times New Roman" w:hAnsi="Times New Roman" w:cs="Times New Roman"/>
          <w:sz w:val="24"/>
          <w:szCs w:val="24"/>
          <w:lang w:val="en-US"/>
        </w:rPr>
        <w:t>, </w:t>
      </w:r>
      <w:r w:rsidRPr="00880D0E">
        <w:rPr>
          <w:rFonts w:ascii="Times New Roman" w:hAnsi="Times New Roman" w:cs="Times New Roman"/>
          <w:i/>
          <w:iCs/>
          <w:sz w:val="24"/>
          <w:szCs w:val="24"/>
          <w:lang w:val="en-US"/>
        </w:rPr>
        <w:t>12</w:t>
      </w:r>
      <w:r w:rsidRPr="00880D0E">
        <w:rPr>
          <w:rFonts w:ascii="Times New Roman" w:hAnsi="Times New Roman" w:cs="Times New Roman"/>
          <w:sz w:val="24"/>
          <w:szCs w:val="24"/>
          <w:lang w:val="en-US"/>
        </w:rPr>
        <w:t>(3), 325. https://doi.org/10.3390/horticulturae12030325</w:t>
      </w:r>
    </w:p>
    <w:p w14:paraId="6051517A" w14:textId="787F9F0F" w:rsidR="00880D0E" w:rsidRPr="00F559B2" w:rsidRDefault="00880D0E" w:rsidP="00F84B7D">
      <w:pPr>
        <w:spacing w:line="480" w:lineRule="auto"/>
        <w:jc w:val="center"/>
        <w:rPr>
          <w:rFonts w:ascii="Times New Roman" w:hAnsi="Times New Roman" w:cs="Times New Roman"/>
          <w:sz w:val="24"/>
          <w:szCs w:val="24"/>
        </w:rPr>
      </w:pPr>
    </w:p>
    <w:sectPr w:rsidR="00880D0E" w:rsidRPr="00F559B2">
      <w:headerReference w:type="default" r:id="rId12"/>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886379" w14:textId="77777777" w:rsidR="000B1805" w:rsidRDefault="000B1805">
      <w:pPr>
        <w:spacing w:line="240" w:lineRule="auto"/>
      </w:pPr>
      <w:r>
        <w:separator/>
      </w:r>
    </w:p>
  </w:endnote>
  <w:endnote w:type="continuationSeparator" w:id="0">
    <w:p w14:paraId="3782B452" w14:textId="77777777" w:rsidR="000B1805" w:rsidRDefault="000B18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8FA5CD4-AB46-42CC-AD34-5B4370CE9800}"/>
  </w:font>
  <w:font w:name="Cambria">
    <w:panose1 w:val="02040503050406030204"/>
    <w:charset w:val="00"/>
    <w:family w:val="roman"/>
    <w:pitch w:val="variable"/>
    <w:sig w:usb0="E00006FF" w:usb1="420024FF" w:usb2="02000000" w:usb3="00000000" w:csb0="0000019F" w:csb1="00000000"/>
    <w:embedRegular r:id="rId2" w:fontKey="{99AEB49A-5247-4848-B4F9-BE030A1B5F7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3647B" w14:textId="77777777" w:rsidR="000B1805" w:rsidRDefault="000B1805">
      <w:pPr>
        <w:spacing w:line="240" w:lineRule="auto"/>
      </w:pPr>
      <w:r>
        <w:separator/>
      </w:r>
    </w:p>
  </w:footnote>
  <w:footnote w:type="continuationSeparator" w:id="0">
    <w:p w14:paraId="56C37545" w14:textId="77777777" w:rsidR="000B1805" w:rsidRDefault="000B18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A289C" w14:textId="77777777" w:rsidR="00CC4140" w:rsidRDefault="00000000">
    <w:pPr>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BA4520">
      <w:rPr>
        <w:rFonts w:ascii="Times New Roman" w:eastAsia="Times New Roman" w:hAnsi="Times New Roman" w:cs="Times New Roman"/>
        <w:noProof/>
      </w:rPr>
      <w:t>1</w:t>
    </w:r>
    <w:r>
      <w:rPr>
        <w:rFonts w:ascii="Times New Roman" w:eastAsia="Times New Roman" w:hAnsi="Times New Roman" w:cs="Times New Roman"/>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BC30BD"/>
    <w:multiLevelType w:val="multilevel"/>
    <w:tmpl w:val="0812F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E224E4D"/>
    <w:multiLevelType w:val="multilevel"/>
    <w:tmpl w:val="06CC4274"/>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4D2126D5"/>
    <w:multiLevelType w:val="multilevel"/>
    <w:tmpl w:val="01824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323095">
    <w:abstractNumId w:val="0"/>
  </w:num>
  <w:num w:numId="2" w16cid:durableId="996542117">
    <w:abstractNumId w:val="2"/>
  </w:num>
  <w:num w:numId="3" w16cid:durableId="160926619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A3MjYzMjQ1N7YwMTFQ0lEKTi0uzszPAykwqgUAbzBHCSwAAAA="/>
  </w:docVars>
  <w:rsids>
    <w:rsidRoot w:val="00CC4140"/>
    <w:rsid w:val="0002393F"/>
    <w:rsid w:val="00025392"/>
    <w:rsid w:val="00025755"/>
    <w:rsid w:val="0002628D"/>
    <w:rsid w:val="000623C9"/>
    <w:rsid w:val="00084B79"/>
    <w:rsid w:val="000921EB"/>
    <w:rsid w:val="000A06F7"/>
    <w:rsid w:val="000B04AE"/>
    <w:rsid w:val="000B1805"/>
    <w:rsid w:val="000B2A5E"/>
    <w:rsid w:val="000B57C9"/>
    <w:rsid w:val="000C772B"/>
    <w:rsid w:val="000E0558"/>
    <w:rsid w:val="000E4D8D"/>
    <w:rsid w:val="0010731F"/>
    <w:rsid w:val="00115372"/>
    <w:rsid w:val="00146AC4"/>
    <w:rsid w:val="00147A36"/>
    <w:rsid w:val="00152D5B"/>
    <w:rsid w:val="00156F1A"/>
    <w:rsid w:val="001604FC"/>
    <w:rsid w:val="001629CB"/>
    <w:rsid w:val="00163E94"/>
    <w:rsid w:val="00165338"/>
    <w:rsid w:val="0018030E"/>
    <w:rsid w:val="001C2F46"/>
    <w:rsid w:val="001C6E9C"/>
    <w:rsid w:val="001C7C73"/>
    <w:rsid w:val="001E06CB"/>
    <w:rsid w:val="001F34EA"/>
    <w:rsid w:val="001F6420"/>
    <w:rsid w:val="001F74BD"/>
    <w:rsid w:val="00226B02"/>
    <w:rsid w:val="00255E40"/>
    <w:rsid w:val="002A26CB"/>
    <w:rsid w:val="002D172A"/>
    <w:rsid w:val="002E2E6C"/>
    <w:rsid w:val="002E579F"/>
    <w:rsid w:val="002F7683"/>
    <w:rsid w:val="00315207"/>
    <w:rsid w:val="003228C2"/>
    <w:rsid w:val="003419A2"/>
    <w:rsid w:val="003526B8"/>
    <w:rsid w:val="003565B3"/>
    <w:rsid w:val="00392FCE"/>
    <w:rsid w:val="003A2B63"/>
    <w:rsid w:val="003B257D"/>
    <w:rsid w:val="003B533B"/>
    <w:rsid w:val="003D1403"/>
    <w:rsid w:val="003E5015"/>
    <w:rsid w:val="00406D74"/>
    <w:rsid w:val="00412420"/>
    <w:rsid w:val="00417F6B"/>
    <w:rsid w:val="00432610"/>
    <w:rsid w:val="00436A4C"/>
    <w:rsid w:val="00446D63"/>
    <w:rsid w:val="0046149B"/>
    <w:rsid w:val="00462C7E"/>
    <w:rsid w:val="0046446E"/>
    <w:rsid w:val="004738BB"/>
    <w:rsid w:val="00482390"/>
    <w:rsid w:val="004939B3"/>
    <w:rsid w:val="004C02E3"/>
    <w:rsid w:val="004C068C"/>
    <w:rsid w:val="004D3173"/>
    <w:rsid w:val="004D37A2"/>
    <w:rsid w:val="004E0742"/>
    <w:rsid w:val="004E74D9"/>
    <w:rsid w:val="005026B8"/>
    <w:rsid w:val="005406C0"/>
    <w:rsid w:val="0054283E"/>
    <w:rsid w:val="00546C90"/>
    <w:rsid w:val="00557F5D"/>
    <w:rsid w:val="00562AC5"/>
    <w:rsid w:val="00564648"/>
    <w:rsid w:val="00584F49"/>
    <w:rsid w:val="005A18EC"/>
    <w:rsid w:val="005B3E1B"/>
    <w:rsid w:val="005E5754"/>
    <w:rsid w:val="005F1592"/>
    <w:rsid w:val="0061004C"/>
    <w:rsid w:val="006553F8"/>
    <w:rsid w:val="00665468"/>
    <w:rsid w:val="006907C7"/>
    <w:rsid w:val="006A40D4"/>
    <w:rsid w:val="006B3D44"/>
    <w:rsid w:val="006C5923"/>
    <w:rsid w:val="006D6E3F"/>
    <w:rsid w:val="006E0136"/>
    <w:rsid w:val="006E2406"/>
    <w:rsid w:val="00705271"/>
    <w:rsid w:val="007101BD"/>
    <w:rsid w:val="00730B9F"/>
    <w:rsid w:val="00735F07"/>
    <w:rsid w:val="00742AF7"/>
    <w:rsid w:val="00745426"/>
    <w:rsid w:val="00762EBB"/>
    <w:rsid w:val="0078379F"/>
    <w:rsid w:val="007C3D28"/>
    <w:rsid w:val="007C64A9"/>
    <w:rsid w:val="007C6672"/>
    <w:rsid w:val="007D08E4"/>
    <w:rsid w:val="007D4F35"/>
    <w:rsid w:val="007D78FE"/>
    <w:rsid w:val="007E0D13"/>
    <w:rsid w:val="00801466"/>
    <w:rsid w:val="008333DF"/>
    <w:rsid w:val="00836C2D"/>
    <w:rsid w:val="0085667F"/>
    <w:rsid w:val="00880D0E"/>
    <w:rsid w:val="008863A7"/>
    <w:rsid w:val="008C64E2"/>
    <w:rsid w:val="008E23F2"/>
    <w:rsid w:val="008F10C7"/>
    <w:rsid w:val="008F5458"/>
    <w:rsid w:val="008F65E7"/>
    <w:rsid w:val="009038AE"/>
    <w:rsid w:val="0092375F"/>
    <w:rsid w:val="00925ED9"/>
    <w:rsid w:val="0096232F"/>
    <w:rsid w:val="009A207F"/>
    <w:rsid w:val="009A64DC"/>
    <w:rsid w:val="009C2CF0"/>
    <w:rsid w:val="009D4C12"/>
    <w:rsid w:val="009E4EDE"/>
    <w:rsid w:val="00A12F29"/>
    <w:rsid w:val="00A26522"/>
    <w:rsid w:val="00A32FD4"/>
    <w:rsid w:val="00A74D61"/>
    <w:rsid w:val="00A87F37"/>
    <w:rsid w:val="00A94489"/>
    <w:rsid w:val="00A974F7"/>
    <w:rsid w:val="00AC6428"/>
    <w:rsid w:val="00AD2F9F"/>
    <w:rsid w:val="00AD4D1A"/>
    <w:rsid w:val="00AE6D0D"/>
    <w:rsid w:val="00AF4C3C"/>
    <w:rsid w:val="00B04998"/>
    <w:rsid w:val="00B134F8"/>
    <w:rsid w:val="00B23B54"/>
    <w:rsid w:val="00B2702E"/>
    <w:rsid w:val="00B3152D"/>
    <w:rsid w:val="00B50D75"/>
    <w:rsid w:val="00B82144"/>
    <w:rsid w:val="00B878EB"/>
    <w:rsid w:val="00BA4520"/>
    <w:rsid w:val="00BF7431"/>
    <w:rsid w:val="00C36D67"/>
    <w:rsid w:val="00C611CB"/>
    <w:rsid w:val="00C84D05"/>
    <w:rsid w:val="00C93CC6"/>
    <w:rsid w:val="00C942A7"/>
    <w:rsid w:val="00CA18AC"/>
    <w:rsid w:val="00CA1DEF"/>
    <w:rsid w:val="00CA6A16"/>
    <w:rsid w:val="00CB27F1"/>
    <w:rsid w:val="00CC4140"/>
    <w:rsid w:val="00CF4C32"/>
    <w:rsid w:val="00D00FD8"/>
    <w:rsid w:val="00D0260F"/>
    <w:rsid w:val="00D1683A"/>
    <w:rsid w:val="00D657AB"/>
    <w:rsid w:val="00D7201B"/>
    <w:rsid w:val="00D77A8A"/>
    <w:rsid w:val="00D77EF5"/>
    <w:rsid w:val="00D832DD"/>
    <w:rsid w:val="00D95C31"/>
    <w:rsid w:val="00DA7ED3"/>
    <w:rsid w:val="00DD5EB3"/>
    <w:rsid w:val="00DE4E0D"/>
    <w:rsid w:val="00DF02A5"/>
    <w:rsid w:val="00E02E9A"/>
    <w:rsid w:val="00E0486B"/>
    <w:rsid w:val="00E338BF"/>
    <w:rsid w:val="00EB5A2D"/>
    <w:rsid w:val="00EB62C4"/>
    <w:rsid w:val="00ED361B"/>
    <w:rsid w:val="00EF46EA"/>
    <w:rsid w:val="00F062B0"/>
    <w:rsid w:val="00F103AF"/>
    <w:rsid w:val="00F12F2D"/>
    <w:rsid w:val="00F23353"/>
    <w:rsid w:val="00F40073"/>
    <w:rsid w:val="00F559B2"/>
    <w:rsid w:val="00F66B1E"/>
    <w:rsid w:val="00F84B7D"/>
    <w:rsid w:val="00F97F06"/>
    <w:rsid w:val="00FA4EDB"/>
    <w:rsid w:val="00FA6E21"/>
    <w:rsid w:val="00FB2DCF"/>
    <w:rsid w:val="00FB4A59"/>
    <w:rsid w:val="00FB4ED5"/>
    <w:rsid w:val="00FC459B"/>
    <w:rsid w:val="00FC6AD4"/>
    <w:rsid w:val="00FD3BF3"/>
    <w:rsid w:val="00FE55E9"/>
    <w:rsid w:val="00FE680B"/>
    <w:rsid w:val="00FF6F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BEFAA"/>
  <w15:docId w15:val="{50A6FA6B-D16F-4455-81D1-A4E9DD3B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FC6AD4"/>
    <w:pPr>
      <w:keepNext/>
      <w:keepLines/>
      <w:spacing w:before="400" w:after="120"/>
      <w:outlineLvl w:val="0"/>
    </w:pPr>
    <w:rPr>
      <w:sz w:val="40"/>
      <w:szCs w:val="40"/>
    </w:rPr>
  </w:style>
  <w:style w:type="paragraph" w:styleId="Heading2">
    <w:name w:val="heading 2"/>
    <w:basedOn w:val="Normal"/>
    <w:next w:val="Normal"/>
    <w:uiPriority w:val="9"/>
    <w:semiHidden/>
    <w:unhideWhenUsed/>
    <w:qFormat/>
    <w:rsid w:val="00FC6AD4"/>
    <w:pPr>
      <w:keepNext/>
      <w:keepLines/>
      <w:spacing w:before="360" w:after="120"/>
      <w:outlineLvl w:val="1"/>
    </w:pPr>
    <w:rPr>
      <w:sz w:val="32"/>
      <w:szCs w:val="32"/>
    </w:rPr>
  </w:style>
  <w:style w:type="paragraph" w:styleId="Heading3">
    <w:name w:val="heading 3"/>
    <w:basedOn w:val="Normal"/>
    <w:next w:val="Normal"/>
    <w:uiPriority w:val="9"/>
    <w:semiHidden/>
    <w:unhideWhenUsed/>
    <w:qFormat/>
    <w:rsid w:val="00FC6AD4"/>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rsid w:val="00FC6AD4"/>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rsid w:val="00FC6AD4"/>
    <w:pPr>
      <w:keepNext/>
      <w:keepLines/>
      <w:spacing w:before="240" w:after="80"/>
      <w:outlineLvl w:val="4"/>
    </w:pPr>
    <w:rPr>
      <w:color w:val="666666"/>
    </w:rPr>
  </w:style>
  <w:style w:type="paragraph" w:styleId="Heading6">
    <w:name w:val="heading 6"/>
    <w:basedOn w:val="Normal"/>
    <w:next w:val="Normal"/>
    <w:uiPriority w:val="9"/>
    <w:semiHidden/>
    <w:unhideWhenUsed/>
    <w:qFormat/>
    <w:rsid w:val="00FC6AD4"/>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_0"/>
    <w:tblPr>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7C3D28"/>
    <w:rPr>
      <w:sz w:val="16"/>
      <w:szCs w:val="16"/>
    </w:rPr>
  </w:style>
  <w:style w:type="paragraph" w:styleId="CommentText">
    <w:name w:val="annotation text"/>
    <w:basedOn w:val="Normal"/>
    <w:link w:val="CommentTextChar"/>
    <w:uiPriority w:val="99"/>
    <w:unhideWhenUsed/>
    <w:rsid w:val="007C3D28"/>
    <w:pPr>
      <w:spacing w:line="240" w:lineRule="auto"/>
    </w:pPr>
    <w:rPr>
      <w:sz w:val="20"/>
      <w:szCs w:val="20"/>
    </w:rPr>
  </w:style>
  <w:style w:type="character" w:customStyle="1" w:styleId="CommentTextChar">
    <w:name w:val="Comment Text Char"/>
    <w:basedOn w:val="DefaultParagraphFont"/>
    <w:link w:val="CommentText"/>
    <w:uiPriority w:val="99"/>
    <w:rsid w:val="007C3D28"/>
    <w:rPr>
      <w:sz w:val="20"/>
      <w:szCs w:val="20"/>
    </w:rPr>
  </w:style>
  <w:style w:type="paragraph" w:styleId="CommentSubject">
    <w:name w:val="annotation subject"/>
    <w:basedOn w:val="CommentText"/>
    <w:next w:val="CommentText"/>
    <w:link w:val="CommentSubjectChar"/>
    <w:uiPriority w:val="99"/>
    <w:semiHidden/>
    <w:unhideWhenUsed/>
    <w:rsid w:val="007C3D28"/>
    <w:rPr>
      <w:b/>
      <w:bCs/>
    </w:rPr>
  </w:style>
  <w:style w:type="character" w:customStyle="1" w:styleId="CommentSubjectChar">
    <w:name w:val="Comment Subject Char"/>
    <w:basedOn w:val="CommentTextChar"/>
    <w:link w:val="CommentSubject"/>
    <w:uiPriority w:val="99"/>
    <w:semiHidden/>
    <w:rsid w:val="007C3D28"/>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 w:type="paragraph" w:styleId="Footer">
    <w:name w:val="footer"/>
    <w:basedOn w:val="Normal"/>
    <w:link w:val="FooterChar"/>
    <w:uiPriority w:val="99"/>
    <w:unhideWhenUsed/>
    <w:rsid w:val="00FC6AD4"/>
    <w:pPr>
      <w:tabs>
        <w:tab w:val="center" w:pos="4513"/>
        <w:tab w:val="right" w:pos="9026"/>
      </w:tabs>
      <w:spacing w:line="240" w:lineRule="auto"/>
    </w:pPr>
  </w:style>
  <w:style w:type="character" w:customStyle="1" w:styleId="FooterChar">
    <w:name w:val="Footer Char"/>
    <w:basedOn w:val="DefaultParagraphFont"/>
    <w:link w:val="Footer"/>
    <w:uiPriority w:val="99"/>
    <w:rsid w:val="00FC6AD4"/>
  </w:style>
  <w:style w:type="paragraph" w:styleId="Header">
    <w:name w:val="header"/>
    <w:basedOn w:val="Normal"/>
    <w:link w:val="HeaderChar"/>
    <w:uiPriority w:val="99"/>
    <w:unhideWhenUsed/>
    <w:rsid w:val="00025755"/>
    <w:pPr>
      <w:tabs>
        <w:tab w:val="center" w:pos="4513"/>
        <w:tab w:val="right" w:pos="9026"/>
      </w:tabs>
      <w:spacing w:line="240" w:lineRule="auto"/>
    </w:pPr>
  </w:style>
  <w:style w:type="character" w:customStyle="1" w:styleId="HeaderChar">
    <w:name w:val="Header Char"/>
    <w:basedOn w:val="DefaultParagraphFont"/>
    <w:link w:val="Header"/>
    <w:uiPriority w:val="99"/>
    <w:rsid w:val="00025755"/>
  </w:style>
  <w:style w:type="character" w:styleId="Hyperlink">
    <w:name w:val="Hyperlink"/>
    <w:basedOn w:val="DefaultParagraphFont"/>
    <w:uiPriority w:val="99"/>
    <w:unhideWhenUsed/>
    <w:rsid w:val="00025392"/>
    <w:rPr>
      <w:color w:val="0000FF" w:themeColor="hyperlink"/>
      <w:u w:val="single"/>
    </w:rPr>
  </w:style>
  <w:style w:type="character" w:styleId="UnresolvedMention">
    <w:name w:val="Unresolved Mention"/>
    <w:basedOn w:val="DefaultParagraphFont"/>
    <w:uiPriority w:val="99"/>
    <w:semiHidden/>
    <w:unhideWhenUsed/>
    <w:rsid w:val="00025392"/>
    <w:rPr>
      <w:color w:val="605E5C"/>
      <w:shd w:val="clear" w:color="auto" w:fill="E1DFDD"/>
    </w:rPr>
  </w:style>
  <w:style w:type="character" w:customStyle="1" w:styleId="whitespace-normal">
    <w:name w:val="whitespace-normal"/>
    <w:basedOn w:val="DefaultParagraphFont"/>
    <w:rsid w:val="001F34EA"/>
  </w:style>
  <w:style w:type="character" w:styleId="Emphasis">
    <w:name w:val="Emphasis"/>
    <w:basedOn w:val="DefaultParagraphFont"/>
    <w:uiPriority w:val="20"/>
    <w:qFormat/>
    <w:rsid w:val="001F34EA"/>
    <w:rPr>
      <w:i/>
      <w:iCs/>
    </w:rPr>
  </w:style>
  <w:style w:type="paragraph" w:styleId="NormalWeb">
    <w:name w:val="Normal (Web)"/>
    <w:basedOn w:val="Normal"/>
    <w:uiPriority w:val="99"/>
    <w:semiHidden/>
    <w:unhideWhenUsed/>
    <w:rsid w:val="007C64A9"/>
    <w:pPr>
      <w:spacing w:before="100" w:beforeAutospacing="1" w:after="100" w:afterAutospacing="1" w:line="240" w:lineRule="auto"/>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6IR5c6alu4TrB+ryKiXYCTT6lA==">CgMxLjA4AHIhMTk1U2dRX21PODdKTktFUzZ1d18zaUl4V0pMZEZPNFBo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Pages>
  <Words>567</Words>
  <Characters>3234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Mariam</dc:creator>
  <cp:lastModifiedBy>SS</cp:lastModifiedBy>
  <cp:revision>22</cp:revision>
  <dcterms:created xsi:type="dcterms:W3CDTF">2026-04-27T17:51:00Z</dcterms:created>
  <dcterms:modified xsi:type="dcterms:W3CDTF">2026-04-27T18:35:00Z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5d4f3462-92ae-403b-8768-1c3b806516b7</vt:lpwstr>
  </property>
  <property fmtid="{D5CDD505-2E9C-101B-9397-08002B2CF9AE}" pid="3" name="MSIP_Label_defa4170-0d19-0005-0004-bc88714345d2_ActionId">
    <vt:lpwstr>ebef2267-6323-4f08-be0b-57190608eaed</vt:lpwstr>
  </property>
  <property fmtid="{D5CDD505-2E9C-101B-9397-08002B2CF9AE}" pid="4" name="MSIP_Label_defa4170-0d19-0005-0004-bc88714345d2_ContentBits">
    <vt:lpwstr>0</vt:lpwstr>
  </property>
  <property fmtid="{D5CDD505-2E9C-101B-9397-08002B2CF9AE}" pid="5" name="MSIP_Label_defa4170-0d19-0005-0004-bc88714345d2_Enabled">
    <vt:lpwstr>true</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etDate">
    <vt:lpwstr>2026-03-21T18:09:14Z</vt:lpwstr>
  </property>
  <property fmtid="{D5CDD505-2E9C-101B-9397-08002B2CF9AE}" pid="9" name="MSIP_Label_defa4170-0d19-0005-0004-bc88714345d2_SiteId">
    <vt:lpwstr>3778140a-a35f-4f5a-8e1d-5d8996f8c0ac</vt:lpwstr>
  </property>
  <property fmtid="{D5CDD505-2E9C-101B-9397-08002B2CF9AE}" pid="10" name="MSIP_Label_defa4170-0d19-0005-0004-bc88714345d2_Tag">
    <vt:lpwstr>10, 3, 0, 1</vt:lpwstr>
  </property>
</Properties>
</file>