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89B" w:rsidRPr="008131E3" w:rsidRDefault="00E21617">
      <w:pPr>
        <w:pBdr>
          <w:bottom w:val="single" w:sz="8" w:space="1" w:color="2E4057"/>
        </w:pBd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8131E3">
        <w:rPr>
          <w:rFonts w:ascii="Times New Roman" w:hAnsi="Times New Roman" w:cs="Times New Roman"/>
          <w:b/>
          <w:bCs/>
          <w:color w:val="2E4057"/>
          <w:sz w:val="24"/>
          <w:szCs w:val="24"/>
        </w:rPr>
        <w:t>LEARNING ACTIVITY 1: THE MERGER BLUEPRINT</w:t>
      </w:r>
    </w:p>
    <w:p w:rsidR="00A4489B" w:rsidRPr="008131E3" w:rsidRDefault="00E21617">
      <w:pPr>
        <w:spacing w:before="60" w:after="200"/>
        <w:jc w:val="center"/>
        <w:rPr>
          <w:rFonts w:ascii="Times New Roman" w:hAnsi="Times New Roman" w:cs="Times New Roman"/>
          <w:sz w:val="24"/>
          <w:szCs w:val="24"/>
        </w:rPr>
      </w:pPr>
      <w:r w:rsidRPr="008131E3">
        <w:rPr>
          <w:rFonts w:ascii="Times New Roman" w:hAnsi="Times New Roman" w:cs="Times New Roman"/>
          <w:i/>
          <w:iCs/>
          <w:color w:val="555555"/>
          <w:sz w:val="24"/>
          <w:szCs w:val="24"/>
        </w:rPr>
        <w:t>A Digital Infographic — Reproductive Anatomy &amp; First-Line Immune Defense</w:t>
      </w:r>
    </w:p>
    <w:p w:rsidR="00A4489B" w:rsidRPr="008131E3" w:rsidRDefault="00E21617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8131E3">
        <w:rPr>
          <w:rFonts w:ascii="Times New Roman" w:hAnsi="Times New Roman" w:cs="Times New Roman"/>
          <w:sz w:val="24"/>
          <w:szCs w:val="24"/>
        </w:rPr>
        <w:t>STEP 1: Asset Architecture — The Legacy Factory</w:t>
      </w:r>
    </w:p>
    <w:p w:rsidR="00A4489B" w:rsidRPr="008131E3" w:rsidRDefault="009B3248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8131E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main organs of human reproduction are located in the Legacy Factory. A blueprint of each organ, including its biological name and assigned Security Role in the factory, is provided below.</w:t>
      </w:r>
    </w:p>
    <w:p w:rsidR="00A4489B" w:rsidRPr="008131E3" w:rsidRDefault="00A4489B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3900"/>
        <w:gridCol w:w="3900"/>
      </w:tblGrid>
      <w:tr w:rsidR="00A4489B" w:rsidRPr="008131E3" w:rsidTr="005F496B">
        <w:trPr>
          <w:trHeight w:val="647"/>
        </w:trPr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Organ Icon</w:t>
            </w:r>
          </w:p>
        </w:tc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Biological Name</w:t>
            </w:r>
          </w:p>
        </w:tc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Security Role in the Factory</w:t>
            </w:r>
          </w:p>
        </w:tc>
      </w:tr>
      <w:tr w:rsidR="00A4489B" w:rsidRPr="008131E3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A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F496B" w:rsidRPr="008131E3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🏭</w:t>
            </w:r>
            <w:r w:rsidR="005F496B" w:rsidRPr="00813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13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Testes</w:t>
            </w:r>
          </w:p>
        </w:tc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00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Testes (testis or testes - male glands that produce sperm (spermatogenesis) and testosterone</w:t>
            </w:r>
          </w:p>
        </w:tc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4815EC" w:rsidP="0048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Raw Material Producer: This is where the genetic blueprints (sperm) required in the merger are produced and stored.</w:t>
            </w:r>
          </w:p>
        </w:tc>
      </w:tr>
      <w:tr w:rsidR="00A4489B" w:rsidRPr="008131E3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E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🥚 Ovaries</w:t>
            </w:r>
          </w:p>
        </w:tc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48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Ovaries are female gonads (producing eggs (oocytes)) and secrete estrogen and progesterone.</w:t>
            </w:r>
          </w:p>
        </w:tc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Blueprint Vault Keeper: Holds and releases mature egg blueprints; regulates hormonal signals for the merger.</w:t>
            </w:r>
          </w:p>
        </w:tc>
      </w:tr>
      <w:tr w:rsidR="00A4489B" w:rsidRPr="008131E3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D46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🔒</w:t>
            </w:r>
            <w:r w:rsidR="00E21617" w:rsidRPr="00813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Uterus</w:t>
            </w:r>
          </w:p>
        </w:tc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A1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Blueprint Vault Keeper: Store and disseminate blueprints of mature eggs; controls hormone signals during the merger.</w:t>
            </w:r>
          </w:p>
        </w:tc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A1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Merger Vault: The safe location where the genetic merger (implantation &amp; Development) occurs</w:t>
            </w:r>
          </w:p>
        </w:tc>
      </w:tr>
    </w:tbl>
    <w:p w:rsidR="00A4489B" w:rsidRPr="008131E3" w:rsidRDefault="00A4489B">
      <w:pPr>
        <w:spacing w:before="200" w:after="100"/>
        <w:rPr>
          <w:rFonts w:ascii="Times New Roman" w:hAnsi="Times New Roman" w:cs="Times New Roman"/>
          <w:sz w:val="24"/>
          <w:szCs w:val="24"/>
        </w:rPr>
      </w:pPr>
    </w:p>
    <w:p w:rsidR="00A4489B" w:rsidRPr="008131E3" w:rsidRDefault="00E21617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8131E3">
        <w:rPr>
          <w:rFonts w:ascii="Times New Roman" w:hAnsi="Times New Roman" w:cs="Times New Roman"/>
          <w:sz w:val="24"/>
          <w:szCs w:val="24"/>
        </w:rPr>
        <w:t>STEP 2: The Perimeter Guards — Innate Immune Defenses</w:t>
      </w:r>
    </w:p>
    <w:p w:rsidR="00A4489B" w:rsidRPr="008131E3" w:rsidRDefault="008947D8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8131E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first-line (innate) immunity line of defense that defends the Legacy Factory against Gatecrashers (pathogens) is the Perimeter Guards. These guards do not require multiple exposures to the threat</w:t>
      </w:r>
    </w:p>
    <w:p w:rsidR="00A4489B" w:rsidRPr="008131E3" w:rsidRDefault="00A4489B">
      <w:pPr>
        <w:spacing w:before="100" w:after="100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3780"/>
        <w:gridCol w:w="3780"/>
      </w:tblGrid>
      <w:tr w:rsidR="00A4489B" w:rsidRPr="008131E3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B000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Guard Type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B000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Biological Identity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B000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Defense Function Against Gatecrashers</w:t>
            </w:r>
          </w:p>
        </w:tc>
      </w:tr>
      <w:tr w:rsidR="00A4489B" w:rsidRPr="008131E3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🧱 Skin Guard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47D8"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 The external physical barrier that surrounds the body and external reproductive organs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894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It serves as the factory's external perimeter wall. Physically prevents the entry of pathogens. It produces antimicrobial peptides and has an acidic pH on surfaces.</w:t>
            </w:r>
          </w:p>
        </w:tc>
      </w:tr>
      <w:tr w:rsidR="00A4489B" w:rsidRPr="008131E3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🌫</w:t>
            </w:r>
            <w:r w:rsidRPr="00813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️ Mucous Guard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894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Moist linings within the reproductive tract (vaginal lining, cervical mucus, urethral lining).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894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A sticky net is placed internally to trap Gatecrashers before they can enter the </w:t>
            </w:r>
            <w:proofErr w:type="spellStart"/>
            <w:proofErr w:type="gramStart"/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cells.Vaginal</w:t>
            </w:r>
            <w:proofErr w:type="spellEnd"/>
            <w:proofErr w:type="gramEnd"/>
            <w:r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 pH is low, which prevents the growth of pathogens. The consistency of </w:t>
            </w:r>
            <w:r w:rsidRPr="00813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cervical mucus varies with screen entry</w:t>
            </w:r>
          </w:p>
        </w:tc>
      </w:tr>
      <w:tr w:rsidR="00A4489B" w:rsidRPr="008131E3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lastRenderedPageBreak/>
              <w:t>🛡</w:t>
            </w:r>
            <w:r w:rsidRPr="00813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️ Phagocyte Patrol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894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sPhagocyte</w:t>
            </w:r>
            <w:proofErr w:type="spellEnd"/>
            <w:r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 Patrol -phagocytes - Macrophages and Neutrophils; white blood cells that scan through reproductive tissue.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8947D8" w:rsidP="00CE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Patrolling security forces that absorb and digest Gatecrashers by means of phagocytosis.</w:t>
            </w:r>
            <w:r w:rsidR="00CE533F"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 Secrete</w:t>
            </w: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 chemical signals (cytokines) to attract reinforcements and cause inflammation</w:t>
            </w:r>
          </w:p>
        </w:tc>
      </w:tr>
    </w:tbl>
    <w:p w:rsidR="00A4489B" w:rsidRPr="008131E3" w:rsidRDefault="00A4489B">
      <w:pPr>
        <w:spacing w:before="200" w:after="100"/>
        <w:rPr>
          <w:rFonts w:ascii="Times New Roman" w:hAnsi="Times New Roman" w:cs="Times New Roman"/>
          <w:sz w:val="24"/>
          <w:szCs w:val="24"/>
        </w:rPr>
      </w:pPr>
    </w:p>
    <w:p w:rsidR="00A4489B" w:rsidRPr="008131E3" w:rsidRDefault="00E21617">
      <w:pPr>
        <w:rPr>
          <w:rFonts w:ascii="Times New Roman" w:hAnsi="Times New Roman" w:cs="Times New Roman"/>
          <w:sz w:val="24"/>
          <w:szCs w:val="24"/>
        </w:rPr>
      </w:pPr>
      <w:r w:rsidRPr="008131E3">
        <w:rPr>
          <w:rFonts w:ascii="Times New Roman" w:hAnsi="Times New Roman" w:cs="Times New Roman"/>
          <w:sz w:val="24"/>
          <w:szCs w:val="24"/>
        </w:rPr>
        <w:br w:type="page"/>
      </w:r>
    </w:p>
    <w:p w:rsidR="00A4489B" w:rsidRPr="008131E3" w:rsidRDefault="00E21617">
      <w:pPr>
        <w:pBdr>
          <w:bottom w:val="single" w:sz="8" w:space="1" w:color="2E4057"/>
        </w:pBd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8131E3">
        <w:rPr>
          <w:rFonts w:ascii="Times New Roman" w:hAnsi="Times New Roman" w:cs="Times New Roman"/>
          <w:b/>
          <w:bCs/>
          <w:color w:val="2E4057"/>
          <w:sz w:val="24"/>
          <w:szCs w:val="24"/>
        </w:rPr>
        <w:lastRenderedPageBreak/>
        <w:t>THE MERGER BLUEPRINT — VISUAL INFOGRAPHIC MAP</w:t>
      </w:r>
    </w:p>
    <w:p w:rsidR="00A4489B" w:rsidRPr="008131E3" w:rsidRDefault="00E21617">
      <w:pPr>
        <w:spacing w:before="60" w:after="180"/>
        <w:jc w:val="center"/>
        <w:rPr>
          <w:rFonts w:ascii="Times New Roman" w:hAnsi="Times New Roman" w:cs="Times New Roman"/>
          <w:sz w:val="24"/>
          <w:szCs w:val="24"/>
        </w:rPr>
      </w:pPr>
      <w:r w:rsidRPr="008131E3">
        <w:rPr>
          <w:rFonts w:ascii="Times New Roman" w:hAnsi="Times New Roman" w:cs="Times New Roman"/>
          <w:i/>
          <w:iCs/>
          <w:color w:val="555555"/>
          <w:sz w:val="24"/>
          <w:szCs w:val="24"/>
        </w:rPr>
        <w:t>Intersection of Reproductive Anatomy and the First Line of Immune Defense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4489B" w:rsidRPr="008131E3">
        <w:tc>
          <w:tcPr>
            <w:tcW w:w="93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2E4057"/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Segoe UI Symbol" w:hAnsi="Segoe UI Symbol" w:cs="Segoe UI Symbol"/>
                <w:b/>
                <w:bCs/>
                <w:color w:val="FFFFFF"/>
                <w:sz w:val="24"/>
                <w:szCs w:val="24"/>
              </w:rPr>
              <w:t>🔒</w:t>
            </w:r>
            <w:r w:rsidRPr="008131E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THE MERGER VAULT — UTERUS (Central Secure Zone)</w:t>
            </w:r>
          </w:p>
        </w:tc>
      </w:tr>
      <w:tr w:rsidR="00A4489B" w:rsidRPr="008131E3" w:rsidTr="00D66DD0">
        <w:trPr>
          <w:trHeight w:val="851"/>
        </w:trPr>
        <w:tc>
          <w:tcPr>
            <w:tcW w:w="93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8F5E9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A4489B" w:rsidRPr="008131E3" w:rsidRDefault="00E2161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color w:val="2E4057"/>
                <w:sz w:val="24"/>
                <w:szCs w:val="24"/>
              </w:rPr>
              <w:t>THE MERGER VAULT</w:t>
            </w:r>
          </w:p>
          <w:p w:rsidR="00A4489B" w:rsidRPr="008131E3" w:rsidRDefault="00E2161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i/>
                <w:iCs/>
                <w:color w:val="1A6B8A"/>
                <w:sz w:val="24"/>
                <w:szCs w:val="24"/>
              </w:rPr>
              <w:t>Uterus — Site of Implantation and Fetal Development</w:t>
            </w:r>
          </w:p>
          <w:p w:rsidR="00A4489B" w:rsidRPr="008131E3" w:rsidRDefault="00D66DD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Biological Role: Muscular organ where the fertilized egg (blastocyst) implants, which sustains the implantation and fet</w:t>
            </w:r>
            <w:r w:rsidR="00C51781"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al growth during the pregnancy. </w:t>
            </w: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Security Role: The most secure area of the factory.</w:t>
            </w:r>
            <w:r w:rsidR="00C51781"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During entry, it is highly regulated; only an embryo that is fertilized and genetically compatible can enter and stay.</w:t>
            </w:r>
            <w:r w:rsidR="00C51781"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The inner lining (endometrium) prepares once a mont</w:t>
            </w:r>
            <w:r w:rsidR="00C51781"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h in response to hormonal cues. </w:t>
            </w: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Key Characteristic: Immune Tolerance Zone - in pregnancy, the immune climate of the uterus is particularly adjusted by the progesterone so that there is no rejection of the semi-foreign fetus.</w:t>
            </w:r>
          </w:p>
        </w:tc>
      </w:tr>
    </w:tbl>
    <w:p w:rsidR="00A4489B" w:rsidRPr="008131E3" w:rsidRDefault="00E21617">
      <w:pPr>
        <w:spacing w:before="160" w:after="80"/>
        <w:rPr>
          <w:rFonts w:ascii="Times New Roman" w:hAnsi="Times New Roman" w:cs="Times New Roman"/>
          <w:sz w:val="24"/>
          <w:szCs w:val="24"/>
        </w:rPr>
      </w:pPr>
      <w:r w:rsidRPr="008131E3">
        <w:rPr>
          <w:rFonts w:ascii="Times New Roman" w:hAnsi="Times New Roman" w:cs="Times New Roman"/>
          <w:b/>
          <w:bCs/>
          <w:color w:val="2E4057"/>
          <w:sz w:val="24"/>
          <w:szCs w:val="24"/>
        </w:rPr>
        <w:t>THE SECURITY PERIMETER — Surrounding Defense Layers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1"/>
        <w:gridCol w:w="4549"/>
      </w:tblGrid>
      <w:tr w:rsidR="00A4489B" w:rsidRPr="008131E3">
        <w:trPr>
          <w:gridAfter w:val="1"/>
          <w:wAfter w:w="7960" w:type="dxa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6B8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LAYER 1 — OUTER PERIMETER WALL (Innate Physical Barriers)</w:t>
            </w:r>
          </w:p>
        </w:tc>
      </w:tr>
      <w:tr w:rsidR="00A4489B" w:rsidRPr="008131E3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AF5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🧱</w:t>
            </w:r>
          </w:p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color w:val="2E4057"/>
                <w:sz w:val="24"/>
                <w:szCs w:val="24"/>
              </w:rPr>
              <w:t>🧱 Skin</w:t>
            </w:r>
          </w:p>
        </w:tc>
        <w:tc>
          <w:tcPr>
            <w:tcW w:w="7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A4489B" w:rsidRPr="008131E3" w:rsidRDefault="00C5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SKIN BARRIER: Biological Name: Epidermis and Dermis Security Role:</w:t>
            </w:r>
            <w:r w:rsidR="00003BA0"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 The external physical barrier. </w:t>
            </w: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Eliminates direct access to pathog</w:t>
            </w:r>
            <w:r w:rsidR="00003BA0"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ens by the reproductive organs. </w:t>
            </w: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Surface-secreted antimicrobial peptides (defensins). Covered and guarded external genitalia</w:t>
            </w:r>
          </w:p>
        </w:tc>
      </w:tr>
      <w:tr w:rsidR="00A4489B" w:rsidRPr="008131E3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E0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Segoe UI Symbol" w:hAnsi="Segoe UI Symbol" w:cs="Segoe UI Symbol"/>
                <w:sz w:val="24"/>
                <w:szCs w:val="24"/>
              </w:rPr>
              <w:t>🌫</w:t>
            </w: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️</w:t>
            </w:r>
          </w:p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Segoe UI Symbol" w:hAnsi="Segoe UI Symbol" w:cs="Segoe UI Symbol"/>
                <w:b/>
                <w:bCs/>
                <w:color w:val="2E4057"/>
                <w:sz w:val="24"/>
                <w:szCs w:val="24"/>
              </w:rPr>
              <w:t>🌫</w:t>
            </w:r>
            <w:r w:rsidRPr="008131E3">
              <w:rPr>
                <w:rFonts w:ascii="Times New Roman" w:hAnsi="Times New Roman" w:cs="Times New Roman"/>
                <w:b/>
                <w:bCs/>
                <w:color w:val="2E4057"/>
                <w:sz w:val="24"/>
                <w:szCs w:val="24"/>
              </w:rPr>
              <w:t>️ Mucosa</w:t>
            </w:r>
          </w:p>
        </w:tc>
        <w:tc>
          <w:tcPr>
            <w:tcW w:w="7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A4489B" w:rsidRPr="008131E3" w:rsidRDefault="0000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MUCOSAL LINING: Biological Name: Vaginal epithelium, Cervical mucus, Urethral lining | Security Function: Internal sticky net. Freezes Gatecrashers. The majority of bacteria are killed by acidic pH (3.8-4.5 in the vagina). Cervical mucus literally prevents the ascent of pathogen into uterus</w:t>
            </w:r>
          </w:p>
        </w:tc>
      </w:tr>
      <w:tr w:rsidR="00A4489B" w:rsidRPr="008131E3">
        <w:trPr>
          <w:gridAfter w:val="1"/>
          <w:wAfter w:w="7960" w:type="dxa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0392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LAYER 2 — ACTIVE PATROL UNITS (Cellular Innate Immunity)</w:t>
            </w:r>
          </w:p>
        </w:tc>
      </w:tr>
      <w:tr w:rsidR="00A4489B" w:rsidRPr="008131E3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Segoe UI Symbol" w:hAnsi="Segoe UI Symbol" w:cs="Segoe UI Symbol"/>
                <w:sz w:val="24"/>
                <w:szCs w:val="24"/>
              </w:rPr>
              <w:t>🛡</w:t>
            </w: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️</w:t>
            </w:r>
          </w:p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Segoe UI Symbol" w:hAnsi="Segoe UI Symbol" w:cs="Segoe UI Symbol"/>
                <w:b/>
                <w:bCs/>
                <w:color w:val="2E4057"/>
                <w:sz w:val="24"/>
                <w:szCs w:val="24"/>
              </w:rPr>
              <w:t>🛡</w:t>
            </w:r>
            <w:r w:rsidRPr="008131E3">
              <w:rPr>
                <w:rFonts w:ascii="Times New Roman" w:hAnsi="Times New Roman" w:cs="Times New Roman"/>
                <w:b/>
                <w:bCs/>
                <w:color w:val="2E4057"/>
                <w:sz w:val="24"/>
                <w:szCs w:val="24"/>
              </w:rPr>
              <w:t>️ Macrophages</w:t>
            </w:r>
          </w:p>
        </w:tc>
        <w:tc>
          <w:tcPr>
            <w:tcW w:w="7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A4489B" w:rsidRPr="008131E3" w:rsidRDefault="0000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MACROPHAGES | Biological Name: Tissue macrophages (derived monocytes) | Security Role: resident patrol officers of the lining of the reproductive tract. Phagocytose and destroy bacteria, dead cells and debris. Secreted cytokines call an alarm (inflammation).on)</w:t>
            </w:r>
          </w:p>
        </w:tc>
      </w:tr>
      <w:tr w:rsidR="00A4489B" w:rsidRPr="008131E3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>⚡</w:t>
            </w:r>
          </w:p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Segoe UI Symbol" w:hAnsi="Segoe UI Symbol" w:cs="Segoe UI Symbol"/>
                <w:b/>
                <w:bCs/>
                <w:color w:val="2E4057"/>
                <w:sz w:val="24"/>
                <w:szCs w:val="24"/>
              </w:rPr>
              <w:t>⚡</w:t>
            </w:r>
            <w:r w:rsidRPr="008131E3">
              <w:rPr>
                <w:rFonts w:ascii="Times New Roman" w:hAnsi="Times New Roman" w:cs="Times New Roman"/>
                <w:b/>
                <w:bCs/>
                <w:color w:val="2E4057"/>
                <w:sz w:val="24"/>
                <w:szCs w:val="24"/>
              </w:rPr>
              <w:t xml:space="preserve"> Neutrophils</w:t>
            </w:r>
          </w:p>
        </w:tc>
        <w:tc>
          <w:tcPr>
            <w:tcW w:w="7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A4489B" w:rsidRPr="008131E3" w:rsidRDefault="0000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NEUTROPHILS Polymorphonuclear leukocytes (PMNs) Biological Name Rapid-response strike force. Initial immune cells reach the site of infection. Ingest pathogens and spurt out poisonous chemicals (reactive oxygen species) to eliminate them</w:t>
            </w:r>
          </w:p>
        </w:tc>
      </w:tr>
      <w:tr w:rsidR="00A4489B" w:rsidRPr="008131E3">
        <w:trPr>
          <w:gridAfter w:val="1"/>
          <w:wAfter w:w="7960" w:type="dxa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LAYER 3 — SUPPLY CHAIN SECURITY (Hormonal &amp; Reproductive Guard Posts)</w:t>
            </w:r>
          </w:p>
        </w:tc>
      </w:tr>
      <w:tr w:rsidR="00A4489B" w:rsidRPr="008131E3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🥚</w:t>
            </w:r>
          </w:p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color w:val="2E4057"/>
                <w:sz w:val="24"/>
                <w:szCs w:val="24"/>
              </w:rPr>
              <w:t>🥚 Ovaries</w:t>
            </w:r>
          </w:p>
        </w:tc>
        <w:tc>
          <w:tcPr>
            <w:tcW w:w="7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A4489B" w:rsidRPr="008131E3" w:rsidRDefault="00003BA0" w:rsidP="0000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OVARIES | Biological Name: Female gonads | Security Role: Blueprint Vault Keeper. Ovulates with release of mature egg. Synthesizes estrogen and progesterone that adjusts the immune environment. Estrogen can boost immunity; progesterone boosts immune tolerance in pregnancy</w:t>
            </w:r>
          </w:p>
        </w:tc>
      </w:tr>
      <w:tr w:rsidR="00A4489B" w:rsidRPr="008131E3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Segoe UI Symbol" w:hAnsi="Segoe UI Symbol" w:cs="Segoe UI Symbol"/>
                <w:sz w:val="24"/>
                <w:szCs w:val="24"/>
              </w:rPr>
              <w:t>🏭</w:t>
            </w:r>
          </w:p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Segoe UI Symbol" w:hAnsi="Segoe UI Symbol" w:cs="Segoe UI Symbol"/>
                <w:b/>
                <w:bCs/>
                <w:color w:val="2E4057"/>
                <w:sz w:val="24"/>
                <w:szCs w:val="24"/>
              </w:rPr>
              <w:t>🏭</w:t>
            </w:r>
            <w:r w:rsidRPr="008131E3">
              <w:rPr>
                <w:rFonts w:ascii="Times New Roman" w:hAnsi="Times New Roman" w:cs="Times New Roman"/>
                <w:b/>
                <w:bCs/>
                <w:color w:val="2E4057"/>
                <w:sz w:val="24"/>
                <w:szCs w:val="24"/>
              </w:rPr>
              <w:t xml:space="preserve"> Testes</w:t>
            </w:r>
          </w:p>
        </w:tc>
        <w:tc>
          <w:tcPr>
            <w:tcW w:w="7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A4489B" w:rsidRPr="008131E3" w:rsidRDefault="00E21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TESTES | Biological Name: Male gonads | Security Role: Blueprint Producer. </w:t>
            </w:r>
            <w:r w:rsidR="00676CDC" w:rsidRPr="008131E3">
              <w:rPr>
                <w:rFonts w:ascii="Times New Roman" w:hAnsi="Times New Roman" w:cs="Times New Roman"/>
                <w:sz w:val="24"/>
                <w:szCs w:val="24"/>
              </w:rPr>
              <w:t>Shielded by a special blood-testis lining which keeps maturing sperm secluded by the immune system (otherwise sperm are assaulted by the immune system as foreign). Testosterone has a small inhibitory effect on the immune system.</w:t>
            </w:r>
          </w:p>
        </w:tc>
      </w:tr>
    </w:tbl>
    <w:p w:rsidR="00A4489B" w:rsidRPr="008131E3" w:rsidRDefault="00E21617">
      <w:pPr>
        <w:spacing w:before="160" w:after="60"/>
        <w:rPr>
          <w:rFonts w:ascii="Times New Roman" w:hAnsi="Times New Roman" w:cs="Times New Roman"/>
          <w:sz w:val="24"/>
          <w:szCs w:val="24"/>
        </w:rPr>
      </w:pPr>
      <w:r w:rsidRPr="008131E3">
        <w:rPr>
          <w:rFonts w:ascii="Times New Roman" w:hAnsi="Times New Roman" w:cs="Times New Roman"/>
          <w:b/>
          <w:bCs/>
          <w:color w:val="8B0000"/>
          <w:sz w:val="24"/>
          <w:szCs w:val="24"/>
        </w:rPr>
        <w:t>KEY INSIGHT: The Gatecrashers (Pathogens)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A4489B" w:rsidRPr="008131E3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color w:val="8B0000"/>
                <w:sz w:val="24"/>
                <w:szCs w:val="24"/>
              </w:rPr>
              <w:t>🦠 Bacteria</w:t>
            </w:r>
          </w:p>
          <w:p w:rsidR="00A4489B" w:rsidRPr="008131E3" w:rsidRDefault="00E21617" w:rsidP="0067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e.g., </w:t>
            </w:r>
            <w:r w:rsidR="00676CDC" w:rsidRPr="008131E3">
              <w:rPr>
                <w:rFonts w:ascii="Times New Roman" w:hAnsi="Times New Roman" w:cs="Times New Roman"/>
                <w:sz w:val="24"/>
                <w:szCs w:val="24"/>
              </w:rPr>
              <w:t>Bacteriaoe</w:t>
            </w:r>
            <w:r w:rsidR="00003BA0" w:rsidRPr="008131E3">
              <w:rPr>
                <w:rFonts w:ascii="Times New Roman" w:hAnsi="Times New Roman" w:cs="Times New Roman"/>
                <w:sz w:val="24"/>
                <w:szCs w:val="24"/>
              </w:rPr>
              <w:t>., Chlamydia, Gonorrhea - high-grade inflammatory immune response - may cause scarring of the Merger Vault and its pathways (fallopian tubes), which obstructs the merger pathway.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E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Segoe UI Symbol" w:hAnsi="Segoe UI Symbol" w:cs="Segoe UI Symbol"/>
                <w:b/>
                <w:bCs/>
                <w:color w:val="E65100"/>
                <w:sz w:val="24"/>
                <w:szCs w:val="24"/>
              </w:rPr>
              <w:t>🔬</w:t>
            </w:r>
            <w:r w:rsidRPr="008131E3">
              <w:rPr>
                <w:rFonts w:ascii="Times New Roman" w:hAnsi="Times New Roman" w:cs="Times New Roman"/>
                <w:b/>
                <w:bCs/>
                <w:color w:val="E65100"/>
                <w:sz w:val="24"/>
                <w:szCs w:val="24"/>
              </w:rPr>
              <w:t xml:space="preserve"> Viruses</w:t>
            </w:r>
          </w:p>
          <w:p w:rsidR="00A4489B" w:rsidRPr="008131E3" w:rsidRDefault="00E21617" w:rsidP="0000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e.g., </w:t>
            </w:r>
            <w:r w:rsidR="00003BA0" w:rsidRPr="008131E3">
              <w:rPr>
                <w:rFonts w:ascii="Times New Roman" w:hAnsi="Times New Roman" w:cs="Times New Roman"/>
                <w:sz w:val="24"/>
                <w:szCs w:val="24"/>
              </w:rPr>
              <w:t>HPV, HIV - may cheat the perimeter guards with Antigenic Drift. HPV affects cells of the cervix; the immune system mounts an adaptive immune response with the help of T cells and antibodies.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Segoe UI Symbol" w:hAnsi="Segoe UI Symbol" w:cs="Segoe UI Symbol"/>
                <w:b/>
                <w:bCs/>
                <w:color w:val="2E7D32"/>
                <w:sz w:val="24"/>
                <w:szCs w:val="24"/>
              </w:rPr>
              <w:t>⚠</w:t>
            </w:r>
            <w:r w:rsidRPr="008131E3">
              <w:rPr>
                <w:rFonts w:ascii="Times New Roman" w:hAnsi="Times New Roman" w:cs="Times New Roman"/>
                <w:b/>
                <w:bCs/>
                <w:color w:val="2E7D32"/>
                <w:sz w:val="24"/>
                <w:szCs w:val="24"/>
              </w:rPr>
              <w:t>️ Self-Attack Risk</w:t>
            </w:r>
          </w:p>
          <w:p w:rsidR="00A4489B" w:rsidRPr="008131E3" w:rsidRDefault="00003BA0" w:rsidP="0000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When the immune system confuses reproductive cells (sperm, eggs, uterine lining) with Gatecrashers, it may result in infertility in the absence of any external infection. </w:t>
            </w:r>
          </w:p>
        </w:tc>
      </w:tr>
    </w:tbl>
    <w:p w:rsidR="00E21617" w:rsidRPr="008131E3" w:rsidRDefault="00E21617">
      <w:pPr>
        <w:rPr>
          <w:rFonts w:ascii="Times New Roman" w:hAnsi="Times New Roman" w:cs="Times New Roman"/>
          <w:sz w:val="24"/>
          <w:szCs w:val="24"/>
        </w:rPr>
      </w:pPr>
    </w:p>
    <w:sectPr w:rsidR="00E21617" w:rsidRPr="008131E3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F1FF8"/>
    <w:multiLevelType w:val="hybridMultilevel"/>
    <w:tmpl w:val="51E63760"/>
    <w:lvl w:ilvl="0" w:tplc="AB9C11A2">
      <w:start w:val="1"/>
      <w:numFmt w:val="bullet"/>
      <w:lvlText w:val="•"/>
      <w:lvlJc w:val="left"/>
      <w:pPr>
        <w:ind w:left="720" w:hanging="360"/>
      </w:pPr>
    </w:lvl>
    <w:lvl w:ilvl="1" w:tplc="C972B26E">
      <w:numFmt w:val="decimal"/>
      <w:lvlText w:val=""/>
      <w:lvlJc w:val="left"/>
    </w:lvl>
    <w:lvl w:ilvl="2" w:tplc="DC68140C">
      <w:numFmt w:val="decimal"/>
      <w:lvlText w:val=""/>
      <w:lvlJc w:val="left"/>
    </w:lvl>
    <w:lvl w:ilvl="3" w:tplc="6444E140">
      <w:numFmt w:val="decimal"/>
      <w:lvlText w:val=""/>
      <w:lvlJc w:val="left"/>
    </w:lvl>
    <w:lvl w:ilvl="4" w:tplc="DCE03A60">
      <w:numFmt w:val="decimal"/>
      <w:lvlText w:val=""/>
      <w:lvlJc w:val="left"/>
    </w:lvl>
    <w:lvl w:ilvl="5" w:tplc="DC12212C">
      <w:numFmt w:val="decimal"/>
      <w:lvlText w:val=""/>
      <w:lvlJc w:val="left"/>
    </w:lvl>
    <w:lvl w:ilvl="6" w:tplc="F06AAC2E">
      <w:numFmt w:val="decimal"/>
      <w:lvlText w:val=""/>
      <w:lvlJc w:val="left"/>
    </w:lvl>
    <w:lvl w:ilvl="7" w:tplc="E8B03160">
      <w:numFmt w:val="decimal"/>
      <w:lvlText w:val=""/>
      <w:lvlJc w:val="left"/>
    </w:lvl>
    <w:lvl w:ilvl="8" w:tplc="7D8CC18E">
      <w:numFmt w:val="decimal"/>
      <w:lvlText w:val=""/>
      <w:lvlJc w:val="left"/>
    </w:lvl>
  </w:abstractNum>
  <w:abstractNum w:abstractNumId="1" w15:restartNumberingAfterBreak="0">
    <w:nsid w:val="5CC40CB5"/>
    <w:multiLevelType w:val="hybridMultilevel"/>
    <w:tmpl w:val="5C4AE826"/>
    <w:lvl w:ilvl="0" w:tplc="84A8C06E">
      <w:start w:val="1"/>
      <w:numFmt w:val="bullet"/>
      <w:lvlText w:val="●"/>
      <w:lvlJc w:val="left"/>
      <w:pPr>
        <w:ind w:left="720" w:hanging="360"/>
      </w:pPr>
    </w:lvl>
    <w:lvl w:ilvl="1" w:tplc="AD52BDC2">
      <w:start w:val="1"/>
      <w:numFmt w:val="bullet"/>
      <w:lvlText w:val="○"/>
      <w:lvlJc w:val="left"/>
      <w:pPr>
        <w:ind w:left="1440" w:hanging="360"/>
      </w:pPr>
    </w:lvl>
    <w:lvl w:ilvl="2" w:tplc="54DE3C68">
      <w:start w:val="1"/>
      <w:numFmt w:val="bullet"/>
      <w:lvlText w:val="■"/>
      <w:lvlJc w:val="left"/>
      <w:pPr>
        <w:ind w:left="2160" w:hanging="360"/>
      </w:pPr>
    </w:lvl>
    <w:lvl w:ilvl="3" w:tplc="DEF2699A">
      <w:start w:val="1"/>
      <w:numFmt w:val="bullet"/>
      <w:lvlText w:val="●"/>
      <w:lvlJc w:val="left"/>
      <w:pPr>
        <w:ind w:left="2880" w:hanging="360"/>
      </w:pPr>
    </w:lvl>
    <w:lvl w:ilvl="4" w:tplc="8FF65118">
      <w:start w:val="1"/>
      <w:numFmt w:val="bullet"/>
      <w:lvlText w:val="○"/>
      <w:lvlJc w:val="left"/>
      <w:pPr>
        <w:ind w:left="3600" w:hanging="360"/>
      </w:pPr>
    </w:lvl>
    <w:lvl w:ilvl="5" w:tplc="8D940B72">
      <w:start w:val="1"/>
      <w:numFmt w:val="bullet"/>
      <w:lvlText w:val="■"/>
      <w:lvlJc w:val="left"/>
      <w:pPr>
        <w:ind w:left="4320" w:hanging="360"/>
      </w:pPr>
    </w:lvl>
    <w:lvl w:ilvl="6" w:tplc="50FC4B34">
      <w:start w:val="1"/>
      <w:numFmt w:val="bullet"/>
      <w:lvlText w:val="●"/>
      <w:lvlJc w:val="left"/>
      <w:pPr>
        <w:ind w:left="5040" w:hanging="360"/>
      </w:pPr>
    </w:lvl>
    <w:lvl w:ilvl="7" w:tplc="A0F45846">
      <w:start w:val="1"/>
      <w:numFmt w:val="bullet"/>
      <w:lvlText w:val="●"/>
      <w:lvlJc w:val="left"/>
      <w:pPr>
        <w:ind w:left="5760" w:hanging="360"/>
      </w:pPr>
    </w:lvl>
    <w:lvl w:ilvl="8" w:tplc="E39A4C1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9B"/>
    <w:rsid w:val="00003BA0"/>
    <w:rsid w:val="00005D01"/>
    <w:rsid w:val="003C1716"/>
    <w:rsid w:val="004815EC"/>
    <w:rsid w:val="005F496B"/>
    <w:rsid w:val="00676CDC"/>
    <w:rsid w:val="008131E3"/>
    <w:rsid w:val="008947D8"/>
    <w:rsid w:val="009B3248"/>
    <w:rsid w:val="00A10A1D"/>
    <w:rsid w:val="00A4489B"/>
    <w:rsid w:val="00BA5B04"/>
    <w:rsid w:val="00C51781"/>
    <w:rsid w:val="00CE533F"/>
    <w:rsid w:val="00D4651B"/>
    <w:rsid w:val="00D66DD0"/>
    <w:rsid w:val="00E2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08E04"/>
  <w15:docId w15:val="{26D04E96-A37B-4711-98D4-75D3A13E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spacing w:before="300" w:after="200"/>
      <w:outlineLvl w:val="0"/>
    </w:pPr>
    <w:rPr>
      <w:b/>
      <w:bCs/>
      <w:color w:val="2E4057"/>
      <w:sz w:val="36"/>
      <w:szCs w:val="36"/>
    </w:rPr>
  </w:style>
  <w:style w:type="paragraph" w:styleId="Heading2">
    <w:name w:val="heading 2"/>
    <w:qFormat/>
    <w:pPr>
      <w:spacing w:before="200" w:after="120"/>
      <w:outlineLvl w:val="1"/>
    </w:pPr>
    <w:rPr>
      <w:b/>
      <w:bCs/>
      <w:color w:val="1A6B8A"/>
      <w:sz w:val="28"/>
      <w:szCs w:val="28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858</Words>
  <Characters>4891</Characters>
  <Application>Microsoft Office Word</Application>
  <DocSecurity>0</DocSecurity>
  <Lines>40</Lines>
  <Paragraphs>11</Paragraphs>
  <ScaleCrop>false</ScaleCrop>
  <Company>MRT www.Win2Farsi.com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Moorche</cp:lastModifiedBy>
  <cp:revision>17</cp:revision>
  <dcterms:created xsi:type="dcterms:W3CDTF">2026-04-28T08:11:00Z</dcterms:created>
  <dcterms:modified xsi:type="dcterms:W3CDTF">2026-04-28T09:53:00Z</dcterms:modified>
</cp:coreProperties>
</file>