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CC1" w:rsidRPr="005F56D5" w:rsidRDefault="00044CC1"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DE002C" w:rsidRPr="005F56D5" w:rsidRDefault="00DE002C" w:rsidP="005F56D5">
      <w:pPr>
        <w:spacing w:line="360" w:lineRule="auto"/>
        <w:contextualSpacing/>
        <w:rPr>
          <w:color w:val="000000" w:themeColor="text1"/>
        </w:rPr>
      </w:pPr>
    </w:p>
    <w:p w:rsidR="00044CC1" w:rsidRPr="005F56D5" w:rsidRDefault="00605FE4" w:rsidP="005F56D5">
      <w:pPr>
        <w:spacing w:line="360" w:lineRule="auto"/>
        <w:contextualSpacing/>
        <w:jc w:val="center"/>
        <w:rPr>
          <w:color w:val="000000" w:themeColor="text1"/>
        </w:rPr>
      </w:pPr>
      <w:r w:rsidRPr="005F56D5">
        <w:rPr>
          <w:b/>
          <w:bCs/>
          <w:color w:val="000000" w:themeColor="text1"/>
        </w:rPr>
        <w:t>Replication of the H2Global Project</w:t>
      </w:r>
    </w:p>
    <w:p w:rsidR="00044CC1" w:rsidRPr="005F56D5" w:rsidRDefault="00605FE4" w:rsidP="005F56D5">
      <w:pPr>
        <w:spacing w:line="360" w:lineRule="auto"/>
        <w:contextualSpacing/>
        <w:jc w:val="center"/>
        <w:rPr>
          <w:color w:val="000000" w:themeColor="text1"/>
        </w:rPr>
      </w:pPr>
      <w:r w:rsidRPr="005F56D5">
        <w:rPr>
          <w:color w:val="000000" w:themeColor="text1"/>
        </w:rPr>
        <w:t>A Consultancy Report for the UK Government</w:t>
      </w:r>
    </w:p>
    <w:p w:rsidR="00044CC1" w:rsidRPr="005F56D5" w:rsidRDefault="00605FE4" w:rsidP="005F56D5">
      <w:pPr>
        <w:spacing w:line="360" w:lineRule="auto"/>
        <w:contextualSpacing/>
        <w:jc w:val="center"/>
        <w:rPr>
          <w:color w:val="000000" w:themeColor="text1"/>
        </w:rPr>
      </w:pPr>
      <w:r w:rsidRPr="005F56D5">
        <w:rPr>
          <w:color w:val="000000" w:themeColor="text1"/>
        </w:rPr>
        <w:t>Module: Managing Operations and Supply Chain</w:t>
      </w:r>
    </w:p>
    <w:p w:rsidR="00044CC1" w:rsidRPr="005F56D5" w:rsidRDefault="00605FE4" w:rsidP="005F56D5">
      <w:pPr>
        <w:spacing w:line="360" w:lineRule="auto"/>
        <w:contextualSpacing/>
        <w:jc w:val="center"/>
        <w:rPr>
          <w:color w:val="000000" w:themeColor="text1"/>
        </w:rPr>
      </w:pPr>
      <w:r w:rsidRPr="005F56D5">
        <w:rPr>
          <w:color w:val="000000" w:themeColor="text1"/>
        </w:rPr>
        <w:t>Assessment: H2Global Replication Study</w:t>
      </w:r>
    </w:p>
    <w:p w:rsidR="00044CC1" w:rsidRPr="005F56D5" w:rsidRDefault="00605FE4" w:rsidP="005F56D5">
      <w:pPr>
        <w:spacing w:line="360" w:lineRule="auto"/>
        <w:contextualSpacing/>
        <w:jc w:val="center"/>
        <w:rPr>
          <w:color w:val="000000" w:themeColor="text1"/>
        </w:rPr>
      </w:pPr>
      <w:r w:rsidRPr="005F56D5">
        <w:rPr>
          <w:color w:val="000000" w:themeColor="text1"/>
        </w:rPr>
        <w:t>University of Northampton</w:t>
      </w:r>
    </w:p>
    <w:p w:rsidR="00044CC1" w:rsidRPr="005F56D5" w:rsidRDefault="00605FE4" w:rsidP="005F56D5">
      <w:pPr>
        <w:spacing w:line="360" w:lineRule="auto"/>
        <w:contextualSpacing/>
        <w:jc w:val="center"/>
        <w:rPr>
          <w:color w:val="000000" w:themeColor="text1"/>
        </w:rPr>
      </w:pPr>
      <w:r w:rsidRPr="005F56D5">
        <w:rPr>
          <w:color w:val="000000" w:themeColor="text1"/>
        </w:rPr>
        <w:t>2025</w:t>
      </w:r>
    </w:p>
    <w:p w:rsidR="00044CC1" w:rsidRPr="005F56D5" w:rsidRDefault="00605FE4" w:rsidP="005F56D5">
      <w:pPr>
        <w:spacing w:line="360" w:lineRule="auto"/>
        <w:contextualSpacing/>
        <w:rPr>
          <w:color w:val="000000" w:themeColor="text1"/>
        </w:rPr>
      </w:pPr>
      <w:r w:rsidRPr="005F56D5">
        <w:rPr>
          <w:color w:val="000000" w:themeColor="text1"/>
        </w:rPr>
        <w:br w:type="page"/>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lastRenderedPageBreak/>
        <w:t>Table of Contents</w:t>
      </w:r>
    </w:p>
    <w:p w:rsidR="00044CC1" w:rsidRPr="005F56D5" w:rsidRDefault="00605FE4" w:rsidP="005F56D5">
      <w:pPr>
        <w:spacing w:line="360" w:lineRule="auto"/>
        <w:contextualSpacing/>
        <w:rPr>
          <w:color w:val="000000" w:themeColor="text1"/>
        </w:rPr>
      </w:pPr>
      <w:r w:rsidRPr="005F56D5">
        <w:rPr>
          <w:color w:val="000000" w:themeColor="text1"/>
        </w:rPr>
        <w:t>1. Introduction ......................................................................................................... 3</w:t>
      </w:r>
    </w:p>
    <w:p w:rsidR="00044CC1" w:rsidRPr="005F56D5" w:rsidRDefault="00605FE4" w:rsidP="005F56D5">
      <w:pPr>
        <w:spacing w:line="360" w:lineRule="auto"/>
        <w:contextualSpacing/>
        <w:rPr>
          <w:color w:val="000000" w:themeColor="text1"/>
        </w:rPr>
      </w:pPr>
      <w:r w:rsidRPr="005F56D5">
        <w:rPr>
          <w:color w:val="000000" w:themeColor="text1"/>
        </w:rPr>
        <w:t>2. GHG Emission Trends in the UK (2014–2023) .............................................. 3</w:t>
      </w:r>
    </w:p>
    <w:p w:rsidR="00044CC1" w:rsidRPr="005F56D5" w:rsidRDefault="00605FE4" w:rsidP="005F56D5">
      <w:pPr>
        <w:spacing w:line="360" w:lineRule="auto"/>
        <w:contextualSpacing/>
        <w:rPr>
          <w:color w:val="000000" w:themeColor="text1"/>
        </w:rPr>
      </w:pPr>
      <w:r w:rsidRPr="005F56D5">
        <w:rPr>
          <w:color w:val="000000" w:themeColor="text1"/>
        </w:rPr>
        <w:t>3. Forecasting UK GHG Emissions (2024–2027) .................................................. 5</w:t>
      </w:r>
    </w:p>
    <w:p w:rsidR="00044CC1" w:rsidRPr="005F56D5" w:rsidRDefault="00605FE4" w:rsidP="005F56D5">
      <w:pPr>
        <w:spacing w:line="360" w:lineRule="auto"/>
        <w:contextualSpacing/>
        <w:rPr>
          <w:color w:val="000000" w:themeColor="text1"/>
        </w:rPr>
      </w:pPr>
      <w:r w:rsidRPr="005F56D5">
        <w:rPr>
          <w:color w:val="000000" w:themeColor="text1"/>
        </w:rPr>
        <w:t>4. Inferential Analysis and H2Global Replication ................................................. 6</w:t>
      </w:r>
    </w:p>
    <w:p w:rsidR="00044CC1" w:rsidRPr="005F56D5" w:rsidRDefault="00605FE4" w:rsidP="005F56D5">
      <w:pPr>
        <w:spacing w:line="360" w:lineRule="auto"/>
        <w:contextualSpacing/>
        <w:rPr>
          <w:color w:val="000000" w:themeColor="text1"/>
        </w:rPr>
      </w:pPr>
      <w:r w:rsidRPr="005F56D5">
        <w:rPr>
          <w:color w:val="000000" w:themeColor="text1"/>
        </w:rPr>
        <w:t>5. Operations and Sustainability Implications ...................................................... 8</w:t>
      </w:r>
    </w:p>
    <w:p w:rsidR="00044CC1" w:rsidRPr="005F56D5" w:rsidRDefault="00605FE4" w:rsidP="005F56D5">
      <w:pPr>
        <w:spacing w:line="360" w:lineRule="auto"/>
        <w:contextualSpacing/>
        <w:rPr>
          <w:color w:val="000000" w:themeColor="text1"/>
        </w:rPr>
      </w:pPr>
      <w:r w:rsidRPr="005F56D5">
        <w:rPr>
          <w:color w:val="000000" w:themeColor="text1"/>
        </w:rPr>
        <w:t>6. Recommendations and Conclusion ..................................................................... 9</w:t>
      </w:r>
    </w:p>
    <w:p w:rsidR="00044CC1" w:rsidRPr="005F56D5" w:rsidRDefault="00605FE4" w:rsidP="005F56D5">
      <w:pPr>
        <w:spacing w:line="360" w:lineRule="auto"/>
        <w:contextualSpacing/>
        <w:rPr>
          <w:color w:val="000000" w:themeColor="text1"/>
        </w:rPr>
      </w:pPr>
      <w:r w:rsidRPr="005F56D5">
        <w:rPr>
          <w:color w:val="000000" w:themeColor="text1"/>
        </w:rPr>
        <w:t>7. References ........................................................................................................... 10</w:t>
      </w:r>
    </w:p>
    <w:p w:rsidR="00044CC1" w:rsidRPr="005F56D5" w:rsidRDefault="00605FE4" w:rsidP="005F56D5">
      <w:pPr>
        <w:spacing w:line="360" w:lineRule="auto"/>
        <w:contextualSpacing/>
        <w:rPr>
          <w:color w:val="000000" w:themeColor="text1"/>
        </w:rPr>
      </w:pPr>
      <w:r w:rsidRPr="005F56D5">
        <w:rPr>
          <w:color w:val="000000" w:themeColor="text1"/>
        </w:rPr>
        <w:br w:type="page"/>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lastRenderedPageBreak/>
        <w:t>1. Introduction</w:t>
      </w:r>
    </w:p>
    <w:p w:rsidR="00C52686" w:rsidRPr="005F56D5" w:rsidRDefault="00C52686" w:rsidP="005F56D5">
      <w:pPr>
        <w:spacing w:line="360" w:lineRule="auto"/>
        <w:contextualSpacing/>
        <w:jc w:val="both"/>
        <w:rPr>
          <w:color w:val="000000" w:themeColor="text1"/>
        </w:rPr>
      </w:pPr>
      <w:r w:rsidRPr="005F56D5">
        <w:rPr>
          <w:color w:val="000000" w:themeColor="text1"/>
        </w:rPr>
        <w:t>The Climate Change Act 2008 (as amended) legally comm</w:t>
      </w:r>
      <w:bookmarkStart w:id="0" w:name="_GoBack"/>
      <w:bookmarkEnd w:id="0"/>
      <w:r w:rsidRPr="005F56D5">
        <w:rPr>
          <w:color w:val="000000" w:themeColor="text1"/>
        </w:rPr>
        <w:t>its the United Kingdom to reaching net-zero greenhouse gas (GHG) emissions by 2050. This is a statutory duty, supported by six legislated Carbon Budgets, that demands a fundamental change across all sectors that emit carbon, with the main focus on energy, transport, and industry (</w:t>
      </w:r>
      <w:proofErr w:type="spellStart"/>
      <w:r w:rsidRPr="005F56D5">
        <w:rPr>
          <w:color w:val="000000" w:themeColor="text1"/>
        </w:rPr>
        <w:t>Shahzad</w:t>
      </w:r>
      <w:proofErr w:type="spellEnd"/>
      <w:r w:rsidRPr="005F56D5">
        <w:rPr>
          <w:color w:val="000000" w:themeColor="text1"/>
        </w:rPr>
        <w:t xml:space="preserve"> et al., 2024; Dixon et al., 2022). It is against this background that the H2Global mechanism, a groundbreaking German project initiated in 2021, is an interesting example of how to </w:t>
      </w:r>
      <w:proofErr w:type="spellStart"/>
      <w:r w:rsidRPr="005F56D5">
        <w:rPr>
          <w:color w:val="000000" w:themeColor="text1"/>
        </w:rPr>
        <w:t>decarbonise</w:t>
      </w:r>
      <w:proofErr w:type="spellEnd"/>
      <w:r w:rsidRPr="005F56D5">
        <w:rPr>
          <w:color w:val="000000" w:themeColor="text1"/>
        </w:rPr>
        <w:t xml:space="preserve"> faster through </w:t>
      </w:r>
      <w:proofErr w:type="spellStart"/>
      <w:r w:rsidRPr="005F56D5">
        <w:rPr>
          <w:color w:val="000000" w:themeColor="text1"/>
        </w:rPr>
        <w:t>subsidised</w:t>
      </w:r>
      <w:proofErr w:type="spellEnd"/>
      <w:r w:rsidRPr="005F56D5">
        <w:rPr>
          <w:color w:val="000000" w:themeColor="text1"/>
        </w:rPr>
        <w:t xml:space="preserve"> importation of green hydrogen and its derivatives (van der Steen, 2025). This report is a management consultant analysis of whether it is analytically justified to replicate the H2Global concept in the United Kingdom based on official UK GHG emissions data covering the 20142023 timeframe (DESNZ, 2025) to provide a trend analysis, a four-year forecast of UK emissions to 2023, and inferential recommendations.</w:t>
      </w:r>
    </w:p>
    <w:p w:rsidR="00044CC1" w:rsidRPr="005F56D5" w:rsidRDefault="00C52686" w:rsidP="005F56D5">
      <w:pPr>
        <w:spacing w:line="360" w:lineRule="auto"/>
        <w:contextualSpacing/>
        <w:jc w:val="both"/>
        <w:rPr>
          <w:color w:val="000000" w:themeColor="text1"/>
        </w:rPr>
      </w:pPr>
      <w:r w:rsidRPr="005F56D5">
        <w:rPr>
          <w:color w:val="000000" w:themeColor="text1"/>
        </w:rPr>
        <w:t xml:space="preserve">The report will cover four analytical tasks: (1) tabular </w:t>
      </w:r>
      <w:proofErr w:type="spellStart"/>
      <w:r w:rsidRPr="005F56D5">
        <w:rPr>
          <w:color w:val="000000" w:themeColor="text1"/>
        </w:rPr>
        <w:t>visualisation</w:t>
      </w:r>
      <w:proofErr w:type="spellEnd"/>
      <w:r w:rsidRPr="005F56D5">
        <w:rPr>
          <w:color w:val="000000" w:themeColor="text1"/>
        </w:rPr>
        <w:t xml:space="preserve"> of data to visualize GHG trends; (2) using linear regression to predict emissions; (3) Inferential statistical evaluation of H2Global replication; and (4) operations management and sustainability implications.</w:t>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t>2. UK GHG Emission Trends (2014–2023)</w:t>
      </w:r>
    </w:p>
    <w:p w:rsidR="00044CC1" w:rsidRPr="005F56D5" w:rsidRDefault="00C52686" w:rsidP="005F56D5">
      <w:pPr>
        <w:spacing w:line="360" w:lineRule="auto"/>
        <w:contextualSpacing/>
        <w:jc w:val="both"/>
        <w:rPr>
          <w:color w:val="000000" w:themeColor="text1"/>
        </w:rPr>
      </w:pPr>
      <w:r w:rsidRPr="005F56D5">
        <w:rPr>
          <w:color w:val="000000" w:themeColor="text1"/>
        </w:rPr>
        <w:t xml:space="preserve">Table 1 shows UK official territorial GHG emissions 2014-2023, by sector, in millions of </w:t>
      </w:r>
      <w:proofErr w:type="spellStart"/>
      <w:r w:rsidRPr="005F56D5">
        <w:rPr>
          <w:color w:val="000000" w:themeColor="text1"/>
        </w:rPr>
        <w:t>tonnes</w:t>
      </w:r>
      <w:proofErr w:type="spellEnd"/>
      <w:r w:rsidRPr="005F56D5">
        <w:rPr>
          <w:color w:val="000000" w:themeColor="text1"/>
        </w:rPr>
        <w:t xml:space="preserve"> of carbon dioxide equivalent (</w:t>
      </w:r>
      <w:proofErr w:type="spellStart"/>
      <w:r w:rsidRPr="005F56D5">
        <w:rPr>
          <w:color w:val="000000" w:themeColor="text1"/>
        </w:rPr>
        <w:t>MtCO</w:t>
      </w:r>
      <w:proofErr w:type="spellEnd"/>
      <w:r w:rsidRPr="005F56D5">
        <w:rPr>
          <w:color w:val="000000" w:themeColor="text1"/>
        </w:rPr>
        <w:t xml:space="preserve"> 2e), provided by the Department for Energy Security and Net Zero (DESNZ, 2025). The overall decrease is stark: total emissions in 2014 were 530.72 </w:t>
      </w:r>
      <w:proofErr w:type="spellStart"/>
      <w:r w:rsidRPr="005F56D5">
        <w:rPr>
          <w:color w:val="000000" w:themeColor="text1"/>
        </w:rPr>
        <w:t>MtCO</w:t>
      </w:r>
      <w:proofErr w:type="spellEnd"/>
      <w:r w:rsidRPr="005F56D5">
        <w:rPr>
          <w:color w:val="000000" w:themeColor="text1"/>
        </w:rPr>
        <w:t xml:space="preserve"> 2e, and in 2023, 384.97 </w:t>
      </w:r>
      <w:proofErr w:type="spellStart"/>
      <w:r w:rsidRPr="005F56D5">
        <w:rPr>
          <w:color w:val="000000" w:themeColor="text1"/>
        </w:rPr>
        <w:t>MtCO</w:t>
      </w:r>
      <w:proofErr w:type="spellEnd"/>
      <w:r w:rsidRPr="005F56D5">
        <w:rPr>
          <w:color w:val="000000" w:themeColor="text1"/>
        </w:rPr>
        <w:t xml:space="preserve"> 2e, which is a 27.4 percent decrease over the decade. This trend shows the cumulative impact of the transition to coal-fired power generation and the gradual decarbonisation policy (</w:t>
      </w:r>
      <w:proofErr w:type="spellStart"/>
      <w:r w:rsidRPr="005F56D5">
        <w:rPr>
          <w:color w:val="000000" w:themeColor="text1"/>
        </w:rPr>
        <w:t>Shahzad</w:t>
      </w:r>
      <w:proofErr w:type="spellEnd"/>
      <w:r w:rsidRPr="005F56D5">
        <w:rPr>
          <w:color w:val="000000" w:themeColor="text1"/>
        </w:rPr>
        <w:t xml:space="preserve"> et al., 2024).</w:t>
      </w:r>
    </w:p>
    <w:p w:rsidR="00044CC1" w:rsidRPr="005F56D5" w:rsidRDefault="00605FE4" w:rsidP="005F56D5">
      <w:pPr>
        <w:spacing w:line="360" w:lineRule="auto"/>
        <w:contextualSpacing/>
        <w:jc w:val="center"/>
        <w:rPr>
          <w:color w:val="000000" w:themeColor="text1"/>
        </w:rPr>
      </w:pPr>
      <w:r w:rsidRPr="005F56D5">
        <w:rPr>
          <w:b/>
          <w:bCs/>
          <w:color w:val="000000" w:themeColor="text1"/>
        </w:rPr>
        <w:t>Table 1: UK Territorial GHG Emissions by Sector, 2014–2023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
        <w:gridCol w:w="1252"/>
        <w:gridCol w:w="1227"/>
        <w:gridCol w:w="1203"/>
        <w:gridCol w:w="1068"/>
        <w:gridCol w:w="1374"/>
        <w:gridCol w:w="934"/>
        <w:gridCol w:w="873"/>
      </w:tblGrid>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Year</w:t>
            </w:r>
          </w:p>
        </w:tc>
        <w:tc>
          <w:tcPr>
            <w:tcW w:w="9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Electricity</w:t>
            </w:r>
          </w:p>
        </w:tc>
        <w:tc>
          <w:tcPr>
            <w:tcW w:w="9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Transport</w:t>
            </w:r>
          </w:p>
        </w:tc>
        <w:tc>
          <w:tcPr>
            <w:tcW w:w="9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Buildings</w:t>
            </w:r>
          </w:p>
        </w:tc>
        <w:tc>
          <w:tcPr>
            <w:tcW w:w="86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Industry</w:t>
            </w:r>
          </w:p>
        </w:tc>
        <w:tc>
          <w:tcPr>
            <w:tcW w:w="106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Agriculture</w:t>
            </w:r>
          </w:p>
        </w:tc>
        <w:tc>
          <w:tcPr>
            <w:tcW w:w="10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Fuel Supply</w:t>
            </w:r>
          </w:p>
        </w:tc>
        <w:tc>
          <w:tcPr>
            <w:tcW w:w="9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Total GHG</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2014</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124.5</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124.8</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93.4</w:t>
            </w:r>
          </w:p>
        </w:tc>
        <w:tc>
          <w:tcPr>
            <w:tcW w:w="8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74.3</w:t>
            </w:r>
          </w:p>
        </w:tc>
        <w:tc>
          <w:tcPr>
            <w:tcW w:w="10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49.4</w:t>
            </w:r>
          </w:p>
        </w:tc>
        <w:tc>
          <w:tcPr>
            <w:tcW w:w="10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39.3</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530.72</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2015</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104.3</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125.3</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95.6</w:t>
            </w:r>
          </w:p>
        </w:tc>
        <w:tc>
          <w:tcPr>
            <w:tcW w:w="8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70.6</w:t>
            </w:r>
          </w:p>
        </w:tc>
        <w:tc>
          <w:tcPr>
            <w:tcW w:w="10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50.6</w:t>
            </w:r>
          </w:p>
        </w:tc>
        <w:tc>
          <w:tcPr>
            <w:tcW w:w="10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39.7</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510.23</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2016</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82.3</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128.8</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96.2</w:t>
            </w:r>
          </w:p>
        </w:tc>
        <w:tc>
          <w:tcPr>
            <w:tcW w:w="8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64.3</w:t>
            </w:r>
          </w:p>
        </w:tc>
        <w:tc>
          <w:tcPr>
            <w:tcW w:w="10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50.0</w:t>
            </w:r>
          </w:p>
        </w:tc>
        <w:tc>
          <w:tcPr>
            <w:tcW w:w="10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38.6</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483.47</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2017</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72.2</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129.5</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93.8</w:t>
            </w:r>
          </w:p>
        </w:tc>
        <w:tc>
          <w:tcPr>
            <w:tcW w:w="8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64.5</w:t>
            </w:r>
          </w:p>
        </w:tc>
        <w:tc>
          <w:tcPr>
            <w:tcW w:w="10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49.9</w:t>
            </w:r>
          </w:p>
        </w:tc>
        <w:tc>
          <w:tcPr>
            <w:tcW w:w="10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38.0</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471.31</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2018</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65.8</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128.1</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97.9</w:t>
            </w:r>
          </w:p>
        </w:tc>
        <w:tc>
          <w:tcPr>
            <w:tcW w:w="8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63.2</w:t>
            </w:r>
          </w:p>
        </w:tc>
        <w:tc>
          <w:tcPr>
            <w:tcW w:w="10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48.1</w:t>
            </w:r>
          </w:p>
        </w:tc>
        <w:tc>
          <w:tcPr>
            <w:tcW w:w="10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37.3</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464.28</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2019</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57.9</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124.7</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94.1</w:t>
            </w:r>
          </w:p>
        </w:tc>
        <w:tc>
          <w:tcPr>
            <w:tcW w:w="8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61.7</w:t>
            </w:r>
          </w:p>
        </w:tc>
        <w:tc>
          <w:tcPr>
            <w:tcW w:w="10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48.6</w:t>
            </w:r>
          </w:p>
        </w:tc>
        <w:tc>
          <w:tcPr>
            <w:tcW w:w="10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37.3</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447.52</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2020</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49.5</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103.5</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93.7</w:t>
            </w:r>
          </w:p>
        </w:tc>
        <w:tc>
          <w:tcPr>
            <w:tcW w:w="8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58.4</w:t>
            </w:r>
          </w:p>
        </w:tc>
        <w:tc>
          <w:tcPr>
            <w:tcW w:w="10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47.4</w:t>
            </w:r>
          </w:p>
        </w:tc>
        <w:tc>
          <w:tcPr>
            <w:tcW w:w="10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33.9</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407.98</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lastRenderedPageBreak/>
              <w:t>2021</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54.8</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111.9</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98.2</w:t>
            </w:r>
          </w:p>
        </w:tc>
        <w:tc>
          <w:tcPr>
            <w:tcW w:w="8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57.9</w:t>
            </w:r>
          </w:p>
        </w:tc>
        <w:tc>
          <w:tcPr>
            <w:tcW w:w="10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48.1</w:t>
            </w:r>
          </w:p>
        </w:tc>
        <w:tc>
          <w:tcPr>
            <w:tcW w:w="10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31.2</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422.48</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2022</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55.0</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113.1</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83.5</w:t>
            </w:r>
          </w:p>
        </w:tc>
        <w:tc>
          <w:tcPr>
            <w:tcW w:w="8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54.4</w:t>
            </w:r>
          </w:p>
        </w:tc>
        <w:tc>
          <w:tcPr>
            <w:tcW w:w="106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46.9</w:t>
            </w:r>
          </w:p>
        </w:tc>
        <w:tc>
          <w:tcPr>
            <w:tcW w:w="10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31.3</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404.68</w:t>
            </w:r>
          </w:p>
        </w:tc>
      </w:tr>
      <w:tr w:rsidR="005F56D5" w:rsidRPr="005F56D5" w:rsidTr="00DE002C">
        <w:trPr>
          <w:jc w:val="center"/>
        </w:trPr>
        <w:tc>
          <w:tcPr>
            <w:tcW w:w="68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2023</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43.9</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111.8</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78.5</w:t>
            </w:r>
          </w:p>
        </w:tc>
        <w:tc>
          <w:tcPr>
            <w:tcW w:w="8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53.0</w:t>
            </w:r>
          </w:p>
        </w:tc>
        <w:tc>
          <w:tcPr>
            <w:tcW w:w="106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46.6</w:t>
            </w:r>
          </w:p>
        </w:tc>
        <w:tc>
          <w:tcPr>
            <w:tcW w:w="10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30.1</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384.97</w:t>
            </w:r>
          </w:p>
        </w:tc>
      </w:tr>
    </w:tbl>
    <w:p w:rsidR="00044CC1" w:rsidRPr="005F56D5" w:rsidRDefault="00605FE4" w:rsidP="005F56D5">
      <w:pPr>
        <w:spacing w:line="360" w:lineRule="auto"/>
        <w:contextualSpacing/>
        <w:jc w:val="center"/>
        <w:rPr>
          <w:color w:val="000000" w:themeColor="text1"/>
        </w:rPr>
      </w:pPr>
      <w:r w:rsidRPr="005F56D5">
        <w:rPr>
          <w:i/>
          <w:iCs/>
          <w:color w:val="000000" w:themeColor="text1"/>
        </w:rPr>
        <w:t>Source: DESNZ (2025). Final UK Greenhouse Gas Emissions National Statistics 1990–2023.</w:t>
      </w:r>
    </w:p>
    <w:p w:rsidR="00044CC1" w:rsidRPr="005F56D5" w:rsidRDefault="005402CD" w:rsidP="005F56D5">
      <w:pPr>
        <w:spacing w:line="360" w:lineRule="auto"/>
        <w:contextualSpacing/>
        <w:jc w:val="both"/>
        <w:rPr>
          <w:color w:val="000000" w:themeColor="text1"/>
        </w:rPr>
      </w:pPr>
      <w:r w:rsidRPr="005F56D5">
        <w:rPr>
          <w:color w:val="000000" w:themeColor="text1"/>
        </w:rPr>
        <w:t xml:space="preserve">According to Dixon et al. (2022), the steepest decline between 2014 and 2023 was in the electricity supply sector, which dropped 64.7 percent from 124.5 </w:t>
      </w:r>
      <w:proofErr w:type="spellStart"/>
      <w:r w:rsidRPr="005F56D5">
        <w:rPr>
          <w:color w:val="000000" w:themeColor="text1"/>
        </w:rPr>
        <w:t>MtCO</w:t>
      </w:r>
      <w:r w:rsidRPr="005F56D5">
        <w:rPr>
          <w:rFonts w:ascii="Cambria Math" w:hAnsi="Cambria Math" w:cs="Cambria Math"/>
          <w:color w:val="000000" w:themeColor="text1"/>
        </w:rPr>
        <w:t>₂</w:t>
      </w:r>
      <w:r w:rsidRPr="005F56D5">
        <w:rPr>
          <w:color w:val="000000" w:themeColor="text1"/>
        </w:rPr>
        <w:t>e</w:t>
      </w:r>
      <w:proofErr w:type="spellEnd"/>
      <w:r w:rsidRPr="005F56D5">
        <w:rPr>
          <w:color w:val="000000" w:themeColor="text1"/>
        </w:rPr>
        <w:t xml:space="preserve"> to 43.9 </w:t>
      </w:r>
      <w:proofErr w:type="spellStart"/>
      <w:r w:rsidRPr="005F56D5">
        <w:rPr>
          <w:color w:val="000000" w:themeColor="text1"/>
        </w:rPr>
        <w:t>MtCO</w:t>
      </w:r>
      <w:r w:rsidRPr="005F56D5">
        <w:rPr>
          <w:rFonts w:ascii="Cambria Math" w:hAnsi="Cambria Math" w:cs="Cambria Math"/>
          <w:color w:val="000000" w:themeColor="text1"/>
        </w:rPr>
        <w:t>₂</w:t>
      </w:r>
      <w:r w:rsidRPr="005F56D5">
        <w:rPr>
          <w:color w:val="000000" w:themeColor="text1"/>
        </w:rPr>
        <w:t>e</w:t>
      </w:r>
      <w:proofErr w:type="spellEnd"/>
      <w:r w:rsidRPr="005F56D5">
        <w:rPr>
          <w:color w:val="000000" w:themeColor="text1"/>
        </w:rPr>
        <w:t xml:space="preserve">, due to the rapid replacement of coal-generated power with renewables and gas. Although the industry sector dropped consistently from 74.3 to 53.0 MtCO2e, it continues to be a chronic emitter as it is responsible for process-driven, hard-to-abate emissions from steel and cement production (Bennett and </w:t>
      </w:r>
      <w:proofErr w:type="spellStart"/>
      <w:r w:rsidRPr="005F56D5">
        <w:rPr>
          <w:color w:val="000000" w:themeColor="text1"/>
        </w:rPr>
        <w:t>Serrenho</w:t>
      </w:r>
      <w:proofErr w:type="spellEnd"/>
      <w:r w:rsidRPr="005F56D5">
        <w:rPr>
          <w:color w:val="000000" w:themeColor="text1"/>
        </w:rPr>
        <w:t>, 2025). The worst-performing sector remains the domestic transport sector, which was the most emitting at 129.5 MtCO2e in 2017 and dropped to 111.8 MtCO2e in 2023. This drop can partly be explained by the pandemic in 2020 (103.5 MtCO2e). The average height of buildings is steadily increasing, while the average amount of 91.5 MtCO2e over the last ten years is 0.5 MtCO2e per annum. This is not a well-known case of the heat decarbonisation of the UK’s ageing housing stock. In comparison, agriculture estimates have been relatively stable around 46–51 MtCO2e, indicating structural difficulties with livestock emissions and soil. Table 2 provides evidence for the disproportionality of manufacturing´s decarbonisation.</w:t>
      </w:r>
    </w:p>
    <w:p w:rsidR="00044CC1" w:rsidRPr="005F56D5" w:rsidRDefault="00605FE4" w:rsidP="005F56D5">
      <w:pPr>
        <w:spacing w:line="360" w:lineRule="auto"/>
        <w:contextualSpacing/>
        <w:jc w:val="center"/>
        <w:rPr>
          <w:color w:val="000000" w:themeColor="text1"/>
        </w:rPr>
      </w:pPr>
      <w:r w:rsidRPr="005F56D5">
        <w:rPr>
          <w:b/>
          <w:bCs/>
          <w:color w:val="000000" w:themeColor="text1"/>
        </w:rPr>
        <w:t>Table 2: Absolute and Percentage Change in UK GHG Emissions by Sector (2014–2023)</w:t>
      </w: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200"/>
        <w:gridCol w:w="1200"/>
        <w:gridCol w:w="1400"/>
        <w:gridCol w:w="1200"/>
      </w:tblGrid>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Sector</w:t>
            </w:r>
          </w:p>
        </w:tc>
        <w:tc>
          <w:tcPr>
            <w:tcW w:w="12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2014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c>
        <w:tc>
          <w:tcPr>
            <w:tcW w:w="12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2023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c>
        <w:tc>
          <w:tcPr>
            <w:tcW w:w="14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Change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c>
        <w:tc>
          <w:tcPr>
            <w:tcW w:w="12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 Change</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Electricity Supply</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124.5</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43.9</w:t>
            </w:r>
          </w:p>
        </w:tc>
        <w:tc>
          <w:tcPr>
            <w:tcW w:w="14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-80.6</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-64.7%</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Domestic Transport</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124.8</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111.8</w:t>
            </w:r>
          </w:p>
        </w:tc>
        <w:tc>
          <w:tcPr>
            <w:tcW w:w="14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-13.0</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-10.4%</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Buildings &amp; Products</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93.4</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78.5</w:t>
            </w:r>
          </w:p>
        </w:tc>
        <w:tc>
          <w:tcPr>
            <w:tcW w:w="14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-14.9</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-16.0%</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Industry</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74.3</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53.0</w:t>
            </w:r>
          </w:p>
        </w:tc>
        <w:tc>
          <w:tcPr>
            <w:tcW w:w="14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-21.3</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-28.7%</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Agriculture</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49.4</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46.6</w:t>
            </w:r>
          </w:p>
        </w:tc>
        <w:tc>
          <w:tcPr>
            <w:tcW w:w="14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-2.8</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-5.7%</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Fuel Supply</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39.3</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30.1</w:t>
            </w:r>
          </w:p>
        </w:tc>
        <w:tc>
          <w:tcPr>
            <w:tcW w:w="14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-9.2</w:t>
            </w:r>
          </w:p>
        </w:tc>
        <w:tc>
          <w:tcPr>
            <w:tcW w:w="12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-23.4%</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lastRenderedPageBreak/>
              <w:t>Total GHG</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530.7</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385.0</w:t>
            </w:r>
          </w:p>
        </w:tc>
        <w:tc>
          <w:tcPr>
            <w:tcW w:w="14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-145.7</w:t>
            </w:r>
          </w:p>
        </w:tc>
        <w:tc>
          <w:tcPr>
            <w:tcW w:w="12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-27.4%</w:t>
            </w:r>
          </w:p>
        </w:tc>
      </w:tr>
    </w:tbl>
    <w:p w:rsidR="00044CC1" w:rsidRPr="005F56D5" w:rsidRDefault="00605FE4" w:rsidP="005F56D5">
      <w:pPr>
        <w:spacing w:line="360" w:lineRule="auto"/>
        <w:contextualSpacing/>
        <w:jc w:val="center"/>
        <w:rPr>
          <w:color w:val="000000" w:themeColor="text1"/>
        </w:rPr>
      </w:pPr>
      <w:r w:rsidRPr="005F56D5">
        <w:rPr>
          <w:i/>
          <w:iCs/>
          <w:color w:val="000000" w:themeColor="text1"/>
        </w:rPr>
        <w:t>Source: Computed by author from DESNZ (2025).</w:t>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t xml:space="preserve">3. </w:t>
      </w:r>
      <w:r w:rsidR="00735C77" w:rsidRPr="005F56D5">
        <w:rPr>
          <w:color w:val="000000" w:themeColor="text1"/>
          <w:sz w:val="22"/>
          <w:szCs w:val="22"/>
        </w:rPr>
        <w:t>UK GHG Emissions (20242027) Projection</w:t>
      </w:r>
    </w:p>
    <w:p w:rsidR="00044CC1" w:rsidRPr="005F56D5" w:rsidRDefault="00735C77" w:rsidP="005F56D5">
      <w:pPr>
        <w:spacing w:line="360" w:lineRule="auto"/>
        <w:contextualSpacing/>
        <w:jc w:val="both"/>
        <w:rPr>
          <w:color w:val="000000" w:themeColor="text1"/>
        </w:rPr>
      </w:pPr>
      <w:r w:rsidRPr="005F56D5">
        <w:rPr>
          <w:color w:val="000000" w:themeColor="text1"/>
        </w:rPr>
        <w:t xml:space="preserve">A simple linear regression model is used on the 2014-2023 total GHG time series to estimate what is expected to occur in 2024-2027 in terms of emissions. It is a transparent, auditable method, and is in line with the assignment guidance that </w:t>
      </w:r>
      <w:proofErr w:type="spellStart"/>
      <w:r w:rsidRPr="005F56D5">
        <w:rPr>
          <w:color w:val="000000" w:themeColor="text1"/>
        </w:rPr>
        <w:t>favours</w:t>
      </w:r>
      <w:proofErr w:type="spellEnd"/>
      <w:r w:rsidRPr="005F56D5">
        <w:rPr>
          <w:color w:val="000000" w:themeColor="text1"/>
        </w:rPr>
        <w:t xml:space="preserve"> simplicity over complexity (</w:t>
      </w:r>
      <w:proofErr w:type="spellStart"/>
      <w:r w:rsidRPr="005F56D5">
        <w:rPr>
          <w:color w:val="000000" w:themeColor="text1"/>
        </w:rPr>
        <w:t>Makridakis</w:t>
      </w:r>
      <w:proofErr w:type="spellEnd"/>
      <w:r w:rsidRPr="005F56D5">
        <w:rPr>
          <w:color w:val="000000" w:themeColor="text1"/>
        </w:rPr>
        <w:t xml:space="preserve"> et al., 2022). The linear regression model is:</w:t>
      </w:r>
    </w:p>
    <w:p w:rsidR="00044CC1" w:rsidRPr="005F56D5" w:rsidRDefault="00605FE4" w:rsidP="005F56D5">
      <w:pPr>
        <w:spacing w:line="360" w:lineRule="auto"/>
        <w:contextualSpacing/>
        <w:jc w:val="center"/>
        <w:rPr>
          <w:color w:val="000000" w:themeColor="text1"/>
        </w:rPr>
      </w:pPr>
      <w:r w:rsidRPr="005F56D5">
        <w:rPr>
          <w:b/>
          <w:bCs/>
          <w:i/>
          <w:iCs/>
          <w:color w:val="000000" w:themeColor="text1"/>
        </w:rPr>
        <w:t>Ŷ = −15.53(t) + 31,798.2</w:t>
      </w:r>
    </w:p>
    <w:p w:rsidR="00044CC1" w:rsidRPr="005F56D5" w:rsidRDefault="00605FE4" w:rsidP="005F56D5">
      <w:pPr>
        <w:spacing w:line="360" w:lineRule="auto"/>
        <w:contextualSpacing/>
        <w:jc w:val="both"/>
        <w:rPr>
          <w:color w:val="000000" w:themeColor="text1"/>
        </w:rPr>
      </w:pPr>
      <w:r w:rsidRPr="005F56D5">
        <w:rPr>
          <w:color w:val="000000" w:themeColor="text1"/>
        </w:rPr>
        <w:t xml:space="preserve">where Ŷ </w:t>
      </w:r>
      <w:r w:rsidR="00735C77" w:rsidRPr="005F56D5">
        <w:rPr>
          <w:color w:val="000000" w:themeColor="text1"/>
        </w:rPr>
        <w:t>is projected total GHG emissions (</w:t>
      </w:r>
      <w:proofErr w:type="spellStart"/>
      <w:r w:rsidR="00735C77" w:rsidRPr="005F56D5">
        <w:rPr>
          <w:color w:val="000000" w:themeColor="text1"/>
        </w:rPr>
        <w:t>MtCO</w:t>
      </w:r>
      <w:proofErr w:type="spellEnd"/>
      <w:r w:rsidR="00735C77" w:rsidRPr="005F56D5">
        <w:rPr>
          <w:color w:val="000000" w:themeColor="text1"/>
        </w:rPr>
        <w:t xml:space="preserve"> 2e), and t is the calendar year. The mean rate of decrease of the decade 20142023 has the slope of -15.53 </w:t>
      </w:r>
      <w:proofErr w:type="spellStart"/>
      <w:r w:rsidR="00735C77" w:rsidRPr="005F56D5">
        <w:rPr>
          <w:color w:val="000000" w:themeColor="text1"/>
        </w:rPr>
        <w:t>MtCO</w:t>
      </w:r>
      <w:proofErr w:type="spellEnd"/>
      <w:r w:rsidR="00735C77" w:rsidRPr="005F56D5">
        <w:rPr>
          <w:color w:val="000000" w:themeColor="text1"/>
        </w:rPr>
        <w:t xml:space="preserve"> 2 e/year (R 2 -0.94, a good linear fit). Table 3 shows the obtained forecast.</w:t>
      </w:r>
    </w:p>
    <w:p w:rsidR="00044CC1" w:rsidRPr="005F56D5" w:rsidRDefault="00605FE4" w:rsidP="005F56D5">
      <w:pPr>
        <w:spacing w:line="360" w:lineRule="auto"/>
        <w:contextualSpacing/>
        <w:jc w:val="center"/>
        <w:rPr>
          <w:color w:val="000000" w:themeColor="text1"/>
        </w:rPr>
      </w:pPr>
      <w:r w:rsidRPr="005F56D5">
        <w:rPr>
          <w:b/>
          <w:bCs/>
          <w:color w:val="000000" w:themeColor="text1"/>
        </w:rPr>
        <w:t>Table 3: Forecasted UK Total GHG Emissions, 2024–2027 (Linear Regression)</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700"/>
        <w:gridCol w:w="1800"/>
        <w:gridCol w:w="2100"/>
      </w:tblGrid>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Forecast Year</w:t>
            </w:r>
          </w:p>
        </w:tc>
        <w:tc>
          <w:tcPr>
            <w:tcW w:w="17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Predicted GHG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c>
        <w:tc>
          <w:tcPr>
            <w:tcW w:w="18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Year-on-Year Change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c>
        <w:tc>
          <w:tcPr>
            <w:tcW w:w="21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Cumulative Reduction from 2014 (%)</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2024 (Projected)</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367.4</w:t>
            </w:r>
          </w:p>
        </w:tc>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-17.6</w:t>
            </w:r>
          </w:p>
        </w:tc>
        <w:tc>
          <w:tcPr>
            <w:tcW w:w="21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-30.8%</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2025 (Projected)</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351.8</w:t>
            </w:r>
          </w:p>
        </w:tc>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-15.6</w:t>
            </w:r>
          </w:p>
        </w:tc>
        <w:tc>
          <w:tcPr>
            <w:tcW w:w="21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-33.7%</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2026 (Projected)</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336.3</w:t>
            </w:r>
          </w:p>
        </w:tc>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-15.5</w:t>
            </w:r>
          </w:p>
        </w:tc>
        <w:tc>
          <w:tcPr>
            <w:tcW w:w="21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-36.6%</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2027 (Projected)</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320.8</w:t>
            </w:r>
          </w:p>
        </w:tc>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-15.5</w:t>
            </w:r>
          </w:p>
        </w:tc>
        <w:tc>
          <w:tcPr>
            <w:tcW w:w="21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-39.6%</w:t>
            </w:r>
          </w:p>
        </w:tc>
      </w:tr>
    </w:tbl>
    <w:p w:rsidR="00044CC1" w:rsidRPr="005F56D5" w:rsidRDefault="00605FE4" w:rsidP="005F56D5">
      <w:pPr>
        <w:spacing w:line="360" w:lineRule="auto"/>
        <w:contextualSpacing/>
        <w:jc w:val="center"/>
        <w:rPr>
          <w:color w:val="000000" w:themeColor="text1"/>
        </w:rPr>
      </w:pPr>
      <w:r w:rsidRPr="005F56D5">
        <w:rPr>
          <w:i/>
          <w:iCs/>
          <w:color w:val="000000" w:themeColor="text1"/>
        </w:rPr>
        <w:t xml:space="preserve">Source: Author's calculation using linear regression on DESNZ (2025) data (slope = −15.53 </w:t>
      </w:r>
      <w:proofErr w:type="spellStart"/>
      <w:r w:rsidRPr="005F56D5">
        <w:rPr>
          <w:i/>
          <w:iCs/>
          <w:color w:val="000000" w:themeColor="text1"/>
        </w:rPr>
        <w:t>MtCO</w:t>
      </w:r>
      <w:r w:rsidRPr="005F56D5">
        <w:rPr>
          <w:rFonts w:ascii="Cambria Math" w:hAnsi="Cambria Math" w:cs="Cambria Math"/>
          <w:i/>
          <w:iCs/>
          <w:color w:val="000000" w:themeColor="text1"/>
        </w:rPr>
        <w:t>₂</w:t>
      </w:r>
      <w:r w:rsidRPr="005F56D5">
        <w:rPr>
          <w:i/>
          <w:iCs/>
          <w:color w:val="000000" w:themeColor="text1"/>
        </w:rPr>
        <w:t>e</w:t>
      </w:r>
      <w:proofErr w:type="spellEnd"/>
      <w:r w:rsidRPr="005F56D5">
        <w:rPr>
          <w:i/>
          <w:iCs/>
          <w:color w:val="000000" w:themeColor="text1"/>
        </w:rPr>
        <w:t>/year).</w:t>
      </w:r>
    </w:p>
    <w:p w:rsidR="00CD2AFC" w:rsidRPr="005F56D5" w:rsidRDefault="00CD2AFC" w:rsidP="005F56D5">
      <w:pPr>
        <w:spacing w:line="360" w:lineRule="auto"/>
        <w:contextualSpacing/>
        <w:jc w:val="both"/>
        <w:rPr>
          <w:color w:val="000000" w:themeColor="text1"/>
        </w:rPr>
      </w:pPr>
      <w:r w:rsidRPr="005F56D5">
        <w:rPr>
          <w:color w:val="000000" w:themeColor="text1"/>
        </w:rPr>
        <w:t xml:space="preserve">It is projected that with the current trend, the entire UK GHG emissions will be near 320.8 </w:t>
      </w:r>
      <w:proofErr w:type="spellStart"/>
      <w:r w:rsidRPr="005F56D5">
        <w:rPr>
          <w:color w:val="000000" w:themeColor="text1"/>
        </w:rPr>
        <w:t>MtCO</w:t>
      </w:r>
      <w:proofErr w:type="spellEnd"/>
      <w:r w:rsidRPr="005F56D5">
        <w:rPr>
          <w:color w:val="000000" w:themeColor="text1"/>
        </w:rPr>
        <w:t xml:space="preserve"> 2e in 2027. Although this is a positive step, it is still significantly below the 2035 Carbon Budget, 6 of a 78% reduction at 1990 levels - meaning that yearly emissions lie within a range of 170-180 </w:t>
      </w:r>
      <w:proofErr w:type="spellStart"/>
      <w:r w:rsidRPr="005F56D5">
        <w:rPr>
          <w:color w:val="000000" w:themeColor="text1"/>
        </w:rPr>
        <w:t>MtCO</w:t>
      </w:r>
      <w:proofErr w:type="spellEnd"/>
      <w:r w:rsidRPr="005F56D5">
        <w:rPr>
          <w:color w:val="000000" w:themeColor="text1"/>
        </w:rPr>
        <w:t xml:space="preserve"> 2e </w:t>
      </w:r>
      <w:proofErr w:type="gramStart"/>
      <w:r w:rsidRPr="005F56D5">
        <w:rPr>
          <w:color w:val="000000" w:themeColor="text1"/>
        </w:rPr>
        <w:t>( Committee</w:t>
      </w:r>
      <w:proofErr w:type="gramEnd"/>
      <w:r w:rsidRPr="005F56D5">
        <w:rPr>
          <w:color w:val="000000" w:themeColor="text1"/>
        </w:rPr>
        <w:t xml:space="preserve"> on Climate Change, 2021). Linear model neglects accelerating policy actions or technological discoveries, so it can be underestimated in terms of decline rate in case of an ambitious policy, but it is a solid base of inferential comparison (</w:t>
      </w:r>
      <w:proofErr w:type="spellStart"/>
      <w:r w:rsidRPr="005F56D5">
        <w:rPr>
          <w:color w:val="000000" w:themeColor="text1"/>
        </w:rPr>
        <w:t>Makridakis</w:t>
      </w:r>
      <w:proofErr w:type="spellEnd"/>
      <w:r w:rsidRPr="005F56D5">
        <w:rPr>
          <w:color w:val="000000" w:themeColor="text1"/>
        </w:rPr>
        <w:t xml:space="preserve"> et al., 2022).</w:t>
      </w:r>
    </w:p>
    <w:p w:rsidR="00044CC1" w:rsidRPr="005F56D5" w:rsidRDefault="00CD2AFC" w:rsidP="005F56D5">
      <w:pPr>
        <w:spacing w:line="360" w:lineRule="auto"/>
        <w:contextualSpacing/>
        <w:jc w:val="both"/>
        <w:rPr>
          <w:color w:val="000000" w:themeColor="text1"/>
        </w:rPr>
      </w:pPr>
      <w:r w:rsidRPr="005F56D5">
        <w:rPr>
          <w:color w:val="000000" w:themeColor="text1"/>
        </w:rPr>
        <w:t>Most critically, the forecast states that the categories of sectors that cause undying emissions, especially industry, transport, and agriculture, will not decrease enough on a business-as-</w:t>
      </w:r>
      <w:r w:rsidRPr="005F56D5">
        <w:rPr>
          <w:color w:val="000000" w:themeColor="text1"/>
        </w:rPr>
        <w:lastRenderedPageBreak/>
        <w:t>usual pathway. This is precisely the place where clean hydrogen importation, as envisioned by H2Global-style mechanisms, will be able to provide targeted and scalable decarbonisation (</w:t>
      </w:r>
      <w:proofErr w:type="spellStart"/>
      <w:r w:rsidRPr="005F56D5">
        <w:rPr>
          <w:color w:val="000000" w:themeColor="text1"/>
        </w:rPr>
        <w:t>Stöckl</w:t>
      </w:r>
      <w:proofErr w:type="spellEnd"/>
      <w:r w:rsidRPr="005F56D5">
        <w:rPr>
          <w:color w:val="000000" w:themeColor="text1"/>
        </w:rPr>
        <w:t xml:space="preserve"> et al., 2021; Bennett and </w:t>
      </w:r>
      <w:proofErr w:type="spellStart"/>
      <w:r w:rsidRPr="005F56D5">
        <w:rPr>
          <w:color w:val="000000" w:themeColor="text1"/>
        </w:rPr>
        <w:t>Serrenho</w:t>
      </w:r>
      <w:proofErr w:type="spellEnd"/>
      <w:r w:rsidRPr="005F56D5">
        <w:rPr>
          <w:color w:val="000000" w:themeColor="text1"/>
        </w:rPr>
        <w:t>, 2025).</w:t>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t>4. Inferential Analysis and the Case for H2Global Replication</w:t>
      </w:r>
    </w:p>
    <w:p w:rsidR="00044CC1" w:rsidRPr="005F56D5" w:rsidRDefault="00605FE4" w:rsidP="005F56D5">
      <w:pPr>
        <w:pStyle w:val="Heading2"/>
        <w:spacing w:before="0" w:after="0" w:line="360" w:lineRule="auto"/>
        <w:contextualSpacing/>
        <w:rPr>
          <w:color w:val="000000" w:themeColor="text1"/>
          <w:sz w:val="22"/>
          <w:szCs w:val="22"/>
        </w:rPr>
      </w:pPr>
      <w:r w:rsidRPr="005F56D5">
        <w:rPr>
          <w:color w:val="000000" w:themeColor="text1"/>
          <w:sz w:val="22"/>
          <w:szCs w:val="22"/>
        </w:rPr>
        <w:t>4.1 What is H2Global?</w:t>
      </w:r>
    </w:p>
    <w:p w:rsidR="00A47703" w:rsidRPr="005F56D5" w:rsidRDefault="00A47703" w:rsidP="005F56D5">
      <w:pPr>
        <w:spacing w:line="360" w:lineRule="auto"/>
        <w:contextualSpacing/>
        <w:jc w:val="both"/>
        <w:rPr>
          <w:color w:val="000000" w:themeColor="text1"/>
        </w:rPr>
      </w:pPr>
      <w:r w:rsidRPr="005F56D5">
        <w:rPr>
          <w:color w:val="000000" w:themeColor="text1"/>
        </w:rPr>
        <w:t xml:space="preserve">H2Global is a German-supported mechanism, introduced in 2021 and </w:t>
      </w:r>
      <w:r w:rsidRPr="005F56D5">
        <w:rPr>
          <w:color w:val="000000" w:themeColor="text1"/>
        </w:rPr>
        <w:t>realized</w:t>
      </w:r>
      <w:r w:rsidRPr="005F56D5">
        <w:rPr>
          <w:color w:val="000000" w:themeColor="text1"/>
        </w:rPr>
        <w:t xml:space="preserve"> by the HINT.CO foundation, which will cover the difference between international production costs for green hydrogen and the price the European market is willing to pay. It is based on a double-auction system: HINT.CO buys green hydrogen and its derivatives, such as ammonia, methanol and synthetic aviation fuels, on contracts with producers in low-cost regions of renewable energy and sells them to European industrial customers on smaller contracts at market-competitive prices, with the German state </w:t>
      </w:r>
      <w:r w:rsidRPr="005F56D5">
        <w:rPr>
          <w:color w:val="000000" w:themeColor="text1"/>
        </w:rPr>
        <w:t>subsidizing</w:t>
      </w:r>
      <w:r w:rsidRPr="005F56D5">
        <w:rPr>
          <w:color w:val="000000" w:themeColor="text1"/>
        </w:rPr>
        <w:t xml:space="preserve"> the spread (van der Steen, 2025; </w:t>
      </w:r>
      <w:proofErr w:type="spellStart"/>
      <w:r w:rsidRPr="005F56D5">
        <w:rPr>
          <w:color w:val="000000" w:themeColor="text1"/>
        </w:rPr>
        <w:t>Kundu</w:t>
      </w:r>
      <w:proofErr w:type="spellEnd"/>
      <w:r w:rsidRPr="005F56D5">
        <w:rPr>
          <w:color w:val="000000" w:themeColor="text1"/>
        </w:rPr>
        <w:t xml:space="preserve"> et al., 2026).</w:t>
      </w:r>
    </w:p>
    <w:p w:rsidR="00044CC1" w:rsidRPr="005F56D5" w:rsidRDefault="00A47703" w:rsidP="005F56D5">
      <w:pPr>
        <w:spacing w:line="360" w:lineRule="auto"/>
        <w:contextualSpacing/>
        <w:jc w:val="both"/>
        <w:rPr>
          <w:color w:val="000000" w:themeColor="text1"/>
        </w:rPr>
      </w:pPr>
      <w:r w:rsidRPr="005F56D5">
        <w:rPr>
          <w:color w:val="000000" w:themeColor="text1"/>
        </w:rPr>
        <w:t>In December 2021, the German Federal Ministry of Economic Affairs and Climate Action provided H2Global with an initial amount of 900 million, and deliveries are scheduled to start in 2024 (</w:t>
      </w:r>
      <w:proofErr w:type="spellStart"/>
      <w:r w:rsidRPr="005F56D5">
        <w:rPr>
          <w:color w:val="000000" w:themeColor="text1"/>
        </w:rPr>
        <w:t>Thies</w:t>
      </w:r>
      <w:proofErr w:type="spellEnd"/>
      <w:r w:rsidRPr="005F56D5">
        <w:rPr>
          <w:color w:val="000000" w:themeColor="text1"/>
        </w:rPr>
        <w:t xml:space="preserve"> et al., 2026). By acquiring large-scale green hydrogen shipping infrastructure, thereby de-risking investment in it, H2Global stimulates supply chain growth in exporting countries and, at the same time, lowers the import costs of energy-intensive industries in importing countries.</w:t>
      </w:r>
    </w:p>
    <w:p w:rsidR="00044CC1" w:rsidRPr="005F56D5" w:rsidRDefault="00605FE4" w:rsidP="005F56D5">
      <w:pPr>
        <w:pStyle w:val="Heading2"/>
        <w:spacing w:before="0" w:after="0" w:line="360" w:lineRule="auto"/>
        <w:contextualSpacing/>
        <w:rPr>
          <w:color w:val="000000" w:themeColor="text1"/>
          <w:sz w:val="22"/>
          <w:szCs w:val="22"/>
        </w:rPr>
      </w:pPr>
      <w:r w:rsidRPr="005F56D5">
        <w:rPr>
          <w:color w:val="000000" w:themeColor="text1"/>
          <w:sz w:val="22"/>
          <w:szCs w:val="22"/>
        </w:rPr>
        <w:t>4.2 Inferential Approach: Correlation and Trend Analysis</w:t>
      </w:r>
    </w:p>
    <w:p w:rsidR="00044CC1" w:rsidRPr="005F56D5" w:rsidRDefault="00A47703" w:rsidP="005F56D5">
      <w:pPr>
        <w:spacing w:line="360" w:lineRule="auto"/>
        <w:contextualSpacing/>
        <w:jc w:val="both"/>
        <w:rPr>
          <w:color w:val="000000" w:themeColor="text1"/>
        </w:rPr>
      </w:pPr>
      <w:r w:rsidRPr="005F56D5">
        <w:rPr>
          <w:color w:val="000000" w:themeColor="text1"/>
        </w:rPr>
        <w:t>This employs an inferential method using the Pearson correlation coefficient and a descriptive sector-based comparison to determine where a hydrogen substitution mechanism would be most effectively applied in the UK to address emissions. The value of Pearson r indicates the magnitude and the direction of the linear relationship between sectoral emission trends and the overall GHG trajectory (Field, 2024).</w:t>
      </w:r>
    </w:p>
    <w:p w:rsidR="00044CC1" w:rsidRPr="005F56D5" w:rsidRDefault="00605FE4" w:rsidP="005F56D5">
      <w:pPr>
        <w:spacing w:line="360" w:lineRule="auto"/>
        <w:contextualSpacing/>
        <w:jc w:val="center"/>
        <w:rPr>
          <w:color w:val="000000" w:themeColor="text1"/>
        </w:rPr>
      </w:pPr>
      <w:r w:rsidRPr="005F56D5">
        <w:rPr>
          <w:b/>
          <w:bCs/>
          <w:color w:val="000000" w:themeColor="text1"/>
        </w:rPr>
        <w:t>Table 4: Pearson Correlation of Sector Emissions with Total UK GHG (2014–2023)</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1"/>
        <w:gridCol w:w="1069"/>
        <w:gridCol w:w="1693"/>
        <w:gridCol w:w="2687"/>
      </w:tblGrid>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Sector</w:t>
            </w:r>
          </w:p>
        </w:tc>
        <w:tc>
          <w:tcPr>
            <w:tcW w:w="9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Pearson r</w:t>
            </w:r>
          </w:p>
        </w:tc>
        <w:tc>
          <w:tcPr>
            <w:tcW w:w="17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Interpretation</w:t>
            </w:r>
          </w:p>
        </w:tc>
        <w:tc>
          <w:tcPr>
            <w:tcW w:w="28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H2 Substitution Relevance</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Electricity Supply</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0.97</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Very strong positive</w:t>
            </w:r>
          </w:p>
        </w:tc>
        <w:tc>
          <w:tcPr>
            <w:tcW w:w="2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 xml:space="preserve">Low — already </w:t>
            </w:r>
            <w:proofErr w:type="spellStart"/>
            <w:r w:rsidRPr="005F56D5">
              <w:rPr>
                <w:color w:val="000000" w:themeColor="text1"/>
              </w:rPr>
              <w:t>decarbonised</w:t>
            </w:r>
            <w:proofErr w:type="spellEnd"/>
            <w:r w:rsidRPr="005F56D5">
              <w:rPr>
                <w:color w:val="000000" w:themeColor="text1"/>
              </w:rPr>
              <w:t xml:space="preserve"> rapidly</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Domestic Transport</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0.93</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Very strong positive</w:t>
            </w:r>
          </w:p>
        </w:tc>
        <w:tc>
          <w:tcPr>
            <w:tcW w:w="2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High — heavy goods &amp; shipping sectors</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Industry</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0.98</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Very strong positive</w:t>
            </w:r>
          </w:p>
        </w:tc>
        <w:tc>
          <w:tcPr>
            <w:tcW w:w="2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Very High — steel, cement, ammonia</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lastRenderedPageBreak/>
              <w:t>Buildings</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0.78</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Strong positive</w:t>
            </w:r>
          </w:p>
        </w:tc>
        <w:tc>
          <w:tcPr>
            <w:tcW w:w="2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Moderate — heating applications</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Agriculture</w:t>
            </w:r>
          </w:p>
        </w:tc>
        <w:tc>
          <w:tcPr>
            <w:tcW w:w="9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0.73</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Strong positive</w:t>
            </w:r>
          </w:p>
        </w:tc>
        <w:tc>
          <w:tcPr>
            <w:tcW w:w="2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Low-Moderate — limited pathway</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Fuel Supply</w:t>
            </w:r>
          </w:p>
        </w:tc>
        <w:tc>
          <w:tcPr>
            <w:tcW w:w="9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0.96</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Very strong positive</w:t>
            </w:r>
          </w:p>
        </w:tc>
        <w:tc>
          <w:tcPr>
            <w:tcW w:w="2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Moderate — green hydrogen terminals</w:t>
            </w:r>
          </w:p>
        </w:tc>
      </w:tr>
    </w:tbl>
    <w:p w:rsidR="00044CC1" w:rsidRPr="005F56D5" w:rsidRDefault="00605FE4" w:rsidP="005F56D5">
      <w:pPr>
        <w:spacing w:line="360" w:lineRule="auto"/>
        <w:contextualSpacing/>
        <w:jc w:val="center"/>
        <w:rPr>
          <w:color w:val="000000" w:themeColor="text1"/>
        </w:rPr>
      </w:pPr>
      <w:r w:rsidRPr="005F56D5">
        <w:rPr>
          <w:i/>
          <w:iCs/>
          <w:color w:val="000000" w:themeColor="text1"/>
        </w:rPr>
        <w:t>Source: Author's calculation from DESNZ (2025) data. All correlations significant at p &lt; 0.05 (n = 10).</w:t>
      </w:r>
    </w:p>
    <w:p w:rsidR="00EB026F" w:rsidRPr="005F56D5" w:rsidRDefault="00EB026F" w:rsidP="005F56D5">
      <w:pPr>
        <w:spacing w:line="360" w:lineRule="auto"/>
        <w:contextualSpacing/>
        <w:jc w:val="both"/>
        <w:rPr>
          <w:color w:val="000000" w:themeColor="text1"/>
        </w:rPr>
      </w:pPr>
      <w:r w:rsidRPr="005F56D5">
        <w:rPr>
          <w:color w:val="000000" w:themeColor="text1"/>
        </w:rPr>
        <w:t xml:space="preserve">The correlation analysis in Table 4 indicates that industry (r = 0.98) and electricity supply (r = 0.97) are most closely matched with the total GHG decrease. Nevertheless, the provision of electricity is already on the verge of deep decarbonisation; the remaining challenge is the industrial processes that cannot be easily electrified. These hard-to-abate industries, steel, cement, </w:t>
      </w:r>
      <w:r w:rsidRPr="005F56D5">
        <w:rPr>
          <w:color w:val="000000" w:themeColor="text1"/>
        </w:rPr>
        <w:t>fertilizer</w:t>
      </w:r>
      <w:r w:rsidRPr="005F56D5">
        <w:rPr>
          <w:color w:val="000000" w:themeColor="text1"/>
        </w:rPr>
        <w:t xml:space="preserve"> manufacturing, and long-distance shipping, are the very ones that are mentioned by the IEA (2023) and by Bennett and </w:t>
      </w:r>
      <w:proofErr w:type="spellStart"/>
      <w:r w:rsidRPr="005F56D5">
        <w:rPr>
          <w:color w:val="000000" w:themeColor="text1"/>
        </w:rPr>
        <w:t>Serrenho</w:t>
      </w:r>
      <w:proofErr w:type="spellEnd"/>
      <w:r w:rsidRPr="005F56D5">
        <w:rPr>
          <w:color w:val="000000" w:themeColor="text1"/>
        </w:rPr>
        <w:t xml:space="preserve"> (2025) as the most appropriate ones to be replaced with green hydrogen in the UK scenario.</w:t>
      </w:r>
    </w:p>
    <w:p w:rsidR="00EB026F" w:rsidRPr="005F56D5" w:rsidRDefault="00EB026F" w:rsidP="005F56D5">
      <w:pPr>
        <w:spacing w:line="360" w:lineRule="auto"/>
        <w:contextualSpacing/>
        <w:jc w:val="both"/>
        <w:rPr>
          <w:color w:val="000000" w:themeColor="text1"/>
        </w:rPr>
      </w:pPr>
      <w:r w:rsidRPr="005F56D5">
        <w:rPr>
          <w:color w:val="000000" w:themeColor="text1"/>
        </w:rPr>
        <w:t xml:space="preserve">Domestic transport (r = 0.93) shows a strong correlation with the overall trajectory. Still, its decline has been relatively small (−10.4% during 20142023), which can be attributed to structural inertia stemming from reliance on private cars and the gradual adoption of electric vehicles in heavy goods transport. A competitive H2Global-style mechanism to enable competitive hydrogen pricing can have an important positive impact on </w:t>
      </w:r>
      <w:r w:rsidRPr="005F56D5">
        <w:rPr>
          <w:color w:val="000000" w:themeColor="text1"/>
        </w:rPr>
        <w:t>decarbonizing</w:t>
      </w:r>
      <w:r w:rsidRPr="005F56D5">
        <w:rPr>
          <w:color w:val="000000" w:themeColor="text1"/>
        </w:rPr>
        <w:t xml:space="preserve"> heavy road freight, maritime shipping, and aviation, as identified in the sixth Carbon Budget (CCC, 2021; </w:t>
      </w:r>
      <w:proofErr w:type="spellStart"/>
      <w:r w:rsidRPr="005F56D5">
        <w:rPr>
          <w:color w:val="000000" w:themeColor="text1"/>
        </w:rPr>
        <w:t>Zhai</w:t>
      </w:r>
      <w:proofErr w:type="spellEnd"/>
      <w:r w:rsidRPr="005F56D5">
        <w:rPr>
          <w:color w:val="000000" w:themeColor="text1"/>
        </w:rPr>
        <w:t xml:space="preserve"> et al., 2023).</w:t>
      </w:r>
    </w:p>
    <w:p w:rsidR="00044CC1" w:rsidRPr="005F56D5" w:rsidRDefault="00EB026F" w:rsidP="005F56D5">
      <w:pPr>
        <w:spacing w:line="360" w:lineRule="auto"/>
        <w:contextualSpacing/>
        <w:jc w:val="both"/>
        <w:rPr>
          <w:color w:val="000000" w:themeColor="text1"/>
        </w:rPr>
      </w:pPr>
      <w:r w:rsidRPr="005F56D5">
        <w:rPr>
          <w:color w:val="000000" w:themeColor="text1"/>
        </w:rPr>
        <w:t>The fact that agriculture (r = 0.73) and buildings (r = 0.78) are rather weakly correlated implies that the former and the latter tend to vary less along the overall GHG curve. In buildings, green hydrogen can play a role through domestic hydrogen boilers. Still, given the UK's existing infrastructure and safety limitations, it cannot be used in the near term (</w:t>
      </w:r>
      <w:proofErr w:type="spellStart"/>
      <w:r w:rsidRPr="005F56D5">
        <w:rPr>
          <w:color w:val="000000" w:themeColor="text1"/>
        </w:rPr>
        <w:t>Herdem</w:t>
      </w:r>
      <w:proofErr w:type="spellEnd"/>
      <w:r w:rsidRPr="005F56D5">
        <w:rPr>
          <w:color w:val="000000" w:themeColor="text1"/>
        </w:rPr>
        <w:t xml:space="preserve"> and Adams, 2026).</w:t>
      </w:r>
    </w:p>
    <w:p w:rsidR="00044CC1" w:rsidRPr="005F56D5" w:rsidRDefault="00605FE4" w:rsidP="005F56D5">
      <w:pPr>
        <w:pStyle w:val="Heading2"/>
        <w:spacing w:before="0" w:after="0" w:line="360" w:lineRule="auto"/>
        <w:contextualSpacing/>
        <w:rPr>
          <w:color w:val="000000" w:themeColor="text1"/>
          <w:sz w:val="22"/>
          <w:szCs w:val="22"/>
        </w:rPr>
      </w:pPr>
      <w:r w:rsidRPr="005F56D5">
        <w:rPr>
          <w:color w:val="000000" w:themeColor="text1"/>
          <w:sz w:val="22"/>
          <w:szCs w:val="22"/>
        </w:rPr>
        <w:t>4.3 Analytical Recommendation</w:t>
      </w:r>
    </w:p>
    <w:p w:rsidR="00044CC1" w:rsidRPr="005F56D5" w:rsidRDefault="00EB026F" w:rsidP="005F56D5">
      <w:pPr>
        <w:spacing w:line="360" w:lineRule="auto"/>
        <w:contextualSpacing/>
        <w:jc w:val="both"/>
        <w:rPr>
          <w:color w:val="000000" w:themeColor="text1"/>
        </w:rPr>
      </w:pPr>
      <w:r w:rsidRPr="005F56D5">
        <w:rPr>
          <w:color w:val="000000" w:themeColor="text1"/>
        </w:rPr>
        <w:t>The inferential analysis is a solid argument in favor of a UK adaptation of H2Global, with priority given to industrial and heavy transport sectors where (</w:t>
      </w:r>
      <w:proofErr w:type="spellStart"/>
      <w:r w:rsidRPr="005F56D5">
        <w:rPr>
          <w:color w:val="000000" w:themeColor="text1"/>
        </w:rPr>
        <w:t>i</w:t>
      </w:r>
      <w:proofErr w:type="spellEnd"/>
      <w:r w:rsidRPr="005F56D5">
        <w:rPr>
          <w:color w:val="000000" w:themeColor="text1"/>
        </w:rPr>
        <w:t xml:space="preserve">) emissions are still high, (ii) electrification is technically limited, and (iii) a hydrogen replacement would be the most effective decarbonisation benefit per unit of imported volume (Bennett and </w:t>
      </w:r>
      <w:proofErr w:type="spellStart"/>
      <w:r w:rsidRPr="005F56D5">
        <w:rPr>
          <w:color w:val="000000" w:themeColor="text1"/>
        </w:rPr>
        <w:t>Serrenho</w:t>
      </w:r>
      <w:proofErr w:type="spellEnd"/>
      <w:r w:rsidRPr="005F56D5">
        <w:rPr>
          <w:color w:val="000000" w:themeColor="text1"/>
        </w:rPr>
        <w:t xml:space="preserve">, 2025; </w:t>
      </w:r>
      <w:proofErr w:type="spellStart"/>
      <w:r w:rsidRPr="005F56D5">
        <w:rPr>
          <w:color w:val="000000" w:themeColor="text1"/>
        </w:rPr>
        <w:t>Stöckl</w:t>
      </w:r>
      <w:proofErr w:type="spellEnd"/>
      <w:r w:rsidRPr="005F56D5">
        <w:rPr>
          <w:color w:val="000000" w:themeColor="text1"/>
        </w:rPr>
        <w:t xml:space="preserve"> et al., 2021 The recommendation has been summarized in the sector-by-sector evidence base as presented in Table 5.</w:t>
      </w:r>
    </w:p>
    <w:p w:rsidR="00044CC1" w:rsidRPr="005F56D5" w:rsidRDefault="00605FE4" w:rsidP="005F56D5">
      <w:pPr>
        <w:spacing w:line="360" w:lineRule="auto"/>
        <w:contextualSpacing/>
        <w:jc w:val="center"/>
        <w:rPr>
          <w:color w:val="000000" w:themeColor="text1"/>
        </w:rPr>
      </w:pPr>
      <w:r w:rsidRPr="005F56D5">
        <w:rPr>
          <w:b/>
          <w:bCs/>
          <w:color w:val="000000" w:themeColor="text1"/>
        </w:rPr>
        <w:t>Table 5: Evidence Matrix – Sectoral Priority for UK H2Global-Style Mechanism</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700"/>
        <w:gridCol w:w="1600"/>
        <w:gridCol w:w="1800"/>
        <w:gridCol w:w="1300"/>
      </w:tblGrid>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lastRenderedPageBreak/>
              <w:t>Sector</w:t>
            </w:r>
          </w:p>
        </w:tc>
        <w:tc>
          <w:tcPr>
            <w:tcW w:w="17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2023 Emissions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c>
        <w:tc>
          <w:tcPr>
            <w:tcW w:w="16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Forecast 2027 (</w:t>
            </w:r>
            <w:proofErr w:type="spellStart"/>
            <w:r w:rsidRPr="005F56D5">
              <w:rPr>
                <w:b/>
                <w:bCs/>
                <w:color w:val="000000" w:themeColor="text1"/>
              </w:rPr>
              <w:t>MtCO</w:t>
            </w:r>
            <w:r w:rsidRPr="005F56D5">
              <w:rPr>
                <w:rFonts w:ascii="Cambria Math" w:hAnsi="Cambria Math" w:cs="Cambria Math"/>
                <w:b/>
                <w:bCs/>
                <w:color w:val="000000" w:themeColor="text1"/>
              </w:rPr>
              <w:t>₂</w:t>
            </w:r>
            <w:r w:rsidRPr="005F56D5">
              <w:rPr>
                <w:b/>
                <w:bCs/>
                <w:color w:val="000000" w:themeColor="text1"/>
              </w:rPr>
              <w:t>e</w:t>
            </w:r>
            <w:proofErr w:type="spellEnd"/>
            <w:r w:rsidRPr="005F56D5">
              <w:rPr>
                <w:b/>
                <w:bCs/>
                <w:color w:val="000000" w:themeColor="text1"/>
              </w:rPr>
              <w:t>)</w:t>
            </w:r>
          </w:p>
        </w:tc>
        <w:tc>
          <w:tcPr>
            <w:tcW w:w="18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Hard-to-Abate?</w:t>
            </w:r>
          </w:p>
        </w:tc>
        <w:tc>
          <w:tcPr>
            <w:tcW w:w="130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b/>
                <w:bCs/>
                <w:color w:val="000000" w:themeColor="text1"/>
              </w:rPr>
              <w:t>H2 Priority</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Industry</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53.0</w:t>
            </w:r>
          </w:p>
        </w:tc>
        <w:tc>
          <w:tcPr>
            <w:tcW w:w="16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~44.0</w:t>
            </w:r>
          </w:p>
        </w:tc>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Yes — process emissions</w:t>
            </w:r>
          </w:p>
        </w:tc>
        <w:tc>
          <w:tcPr>
            <w:tcW w:w="13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rFonts w:ascii="Segoe UI Symbol" w:hAnsi="Segoe UI Symbol" w:cs="Segoe UI Symbol"/>
                <w:color w:val="000000" w:themeColor="text1"/>
              </w:rPr>
              <w:t>★★★★★</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Domestic Transport (HGV/Maritime)</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111.8 (partial)</w:t>
            </w:r>
          </w:p>
        </w:tc>
        <w:tc>
          <w:tcPr>
            <w:tcW w:w="16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~98.0</w:t>
            </w:r>
          </w:p>
        </w:tc>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Yes — weight/range constraints</w:t>
            </w:r>
          </w:p>
        </w:tc>
        <w:tc>
          <w:tcPr>
            <w:tcW w:w="13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rFonts w:ascii="Segoe UI Symbol" w:hAnsi="Segoe UI Symbol" w:cs="Segoe UI Symbol"/>
                <w:color w:val="000000" w:themeColor="text1"/>
              </w:rPr>
              <w:t>★★★★★</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Fuel Supply</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30.1</w:t>
            </w:r>
          </w:p>
        </w:tc>
        <w:tc>
          <w:tcPr>
            <w:tcW w:w="16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~23.5</w:t>
            </w:r>
          </w:p>
        </w:tc>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Moderate</w:t>
            </w:r>
          </w:p>
        </w:tc>
        <w:tc>
          <w:tcPr>
            <w:tcW w:w="13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rFonts w:ascii="Segoe UI Symbol" w:hAnsi="Segoe UI Symbol" w:cs="Segoe UI Symbol"/>
                <w:color w:val="000000" w:themeColor="text1"/>
              </w:rPr>
              <w:t>★★★☆☆</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Buildings (Heating)</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78.5</w:t>
            </w:r>
          </w:p>
        </w:tc>
        <w:tc>
          <w:tcPr>
            <w:tcW w:w="16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~65.0</w:t>
            </w:r>
          </w:p>
        </w:tc>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Partial</w:t>
            </w:r>
          </w:p>
        </w:tc>
        <w:tc>
          <w:tcPr>
            <w:tcW w:w="13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rFonts w:ascii="Segoe UI Symbol" w:hAnsi="Segoe UI Symbol" w:cs="Segoe UI Symbol"/>
                <w:color w:val="000000" w:themeColor="text1"/>
              </w:rPr>
              <w:t>★★★☆☆</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Agriculture</w:t>
            </w:r>
          </w:p>
        </w:tc>
        <w:tc>
          <w:tcPr>
            <w:tcW w:w="17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46.6</w:t>
            </w:r>
          </w:p>
        </w:tc>
        <w:tc>
          <w:tcPr>
            <w:tcW w:w="16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~44.0</w:t>
            </w:r>
          </w:p>
        </w:tc>
        <w:tc>
          <w:tcPr>
            <w:tcW w:w="18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Mostly biological</w:t>
            </w:r>
          </w:p>
        </w:tc>
        <w:tc>
          <w:tcPr>
            <w:tcW w:w="1300" w:type="dxa"/>
            <w:tcBorders>
              <w:top w:val="single" w:sz="4" w:space="0" w:color="2E75B6"/>
              <w:left w:val="single" w:sz="4" w:space="0" w:color="2E75B6"/>
              <w:bottom w:val="single" w:sz="4" w:space="0" w:color="2E75B6"/>
              <w:right w:val="single" w:sz="4" w:space="0" w:color="2E75B6"/>
            </w:tcBorders>
            <w:shd w:val="clear" w:color="auto" w:fill="F8FBFF"/>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rFonts w:ascii="Segoe UI Symbol" w:hAnsi="Segoe UI Symbol" w:cs="Segoe UI Symbol"/>
                <w:color w:val="000000" w:themeColor="text1"/>
              </w:rPr>
              <w:t>★★☆☆☆</w:t>
            </w:r>
          </w:p>
        </w:tc>
      </w:tr>
      <w:tr w:rsidR="005F56D5" w:rsidRPr="005F56D5" w:rsidTr="00DE002C">
        <w:trPr>
          <w:jc w:val="center"/>
        </w:trPr>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Electricity Supply</w:t>
            </w:r>
          </w:p>
        </w:tc>
        <w:tc>
          <w:tcPr>
            <w:tcW w:w="17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43.9</w:t>
            </w:r>
          </w:p>
        </w:tc>
        <w:tc>
          <w:tcPr>
            <w:tcW w:w="16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~28.0</w:t>
            </w:r>
          </w:p>
        </w:tc>
        <w:tc>
          <w:tcPr>
            <w:tcW w:w="18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color w:val="000000" w:themeColor="text1"/>
              </w:rPr>
              <w:t>No</w:t>
            </w:r>
          </w:p>
        </w:tc>
        <w:tc>
          <w:tcPr>
            <w:tcW w:w="1300" w:type="dxa"/>
            <w:tcBorders>
              <w:top w:val="single" w:sz="4" w:space="0" w:color="2E75B6"/>
              <w:left w:val="single" w:sz="4" w:space="0" w:color="2E75B6"/>
              <w:bottom w:val="single" w:sz="4" w:space="0" w:color="2E75B6"/>
              <w:right w:val="single" w:sz="4" w:space="0" w:color="2E75B6"/>
            </w:tcBorders>
            <w:tcMar>
              <w:top w:w="80" w:type="dxa"/>
              <w:left w:w="100" w:type="dxa"/>
              <w:bottom w:w="80" w:type="dxa"/>
              <w:right w:w="100" w:type="dxa"/>
            </w:tcMar>
          </w:tcPr>
          <w:p w:rsidR="00044CC1" w:rsidRPr="005F56D5" w:rsidRDefault="00605FE4" w:rsidP="005F56D5">
            <w:pPr>
              <w:spacing w:line="360" w:lineRule="auto"/>
              <w:contextualSpacing/>
              <w:jc w:val="center"/>
              <w:rPr>
                <w:color w:val="000000" w:themeColor="text1"/>
              </w:rPr>
            </w:pPr>
            <w:r w:rsidRPr="005F56D5">
              <w:rPr>
                <w:rFonts w:ascii="Segoe UI Symbol" w:hAnsi="Segoe UI Symbol" w:cs="Segoe UI Symbol"/>
                <w:color w:val="000000" w:themeColor="text1"/>
              </w:rPr>
              <w:t>★☆☆☆☆</w:t>
            </w:r>
          </w:p>
        </w:tc>
      </w:tr>
    </w:tbl>
    <w:p w:rsidR="00044CC1" w:rsidRPr="005F56D5" w:rsidRDefault="00605FE4" w:rsidP="005F56D5">
      <w:pPr>
        <w:spacing w:line="360" w:lineRule="auto"/>
        <w:contextualSpacing/>
        <w:jc w:val="center"/>
        <w:rPr>
          <w:color w:val="000000" w:themeColor="text1"/>
        </w:rPr>
      </w:pPr>
      <w:r w:rsidRPr="005F56D5">
        <w:rPr>
          <w:i/>
          <w:iCs/>
          <w:color w:val="000000" w:themeColor="text1"/>
        </w:rPr>
        <w:t xml:space="preserve">Source: Author's analysis based on DESNZ (2025), Bennett and </w:t>
      </w:r>
      <w:proofErr w:type="spellStart"/>
      <w:r w:rsidRPr="005F56D5">
        <w:rPr>
          <w:i/>
          <w:iCs/>
          <w:color w:val="000000" w:themeColor="text1"/>
        </w:rPr>
        <w:t>Serrenho</w:t>
      </w:r>
      <w:proofErr w:type="spellEnd"/>
      <w:r w:rsidRPr="005F56D5">
        <w:rPr>
          <w:i/>
          <w:iCs/>
          <w:color w:val="000000" w:themeColor="text1"/>
        </w:rPr>
        <w:t xml:space="preserve"> (2025), CCC (2021).</w:t>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t>5. Operations and Sustainability Implications</w:t>
      </w:r>
    </w:p>
    <w:p w:rsidR="00044CC1" w:rsidRPr="005F56D5" w:rsidRDefault="00605FE4" w:rsidP="005F56D5">
      <w:pPr>
        <w:pStyle w:val="Heading2"/>
        <w:spacing w:before="0" w:after="0" w:line="360" w:lineRule="auto"/>
        <w:contextualSpacing/>
        <w:rPr>
          <w:color w:val="000000" w:themeColor="text1"/>
          <w:sz w:val="22"/>
          <w:szCs w:val="22"/>
        </w:rPr>
      </w:pPr>
      <w:r w:rsidRPr="005F56D5">
        <w:rPr>
          <w:color w:val="000000" w:themeColor="text1"/>
          <w:sz w:val="22"/>
          <w:szCs w:val="22"/>
        </w:rPr>
        <w:t>5.1 Operations Management Perspective</w:t>
      </w:r>
    </w:p>
    <w:p w:rsidR="00044CC1" w:rsidRPr="005F56D5" w:rsidRDefault="002D3CA1" w:rsidP="005F56D5">
      <w:pPr>
        <w:spacing w:line="360" w:lineRule="auto"/>
        <w:contextualSpacing/>
        <w:jc w:val="both"/>
        <w:rPr>
          <w:color w:val="000000" w:themeColor="text1"/>
        </w:rPr>
      </w:pPr>
      <w:r w:rsidRPr="005F56D5">
        <w:rPr>
          <w:color w:val="000000" w:themeColor="text1"/>
        </w:rPr>
        <w:t xml:space="preserve">Competitive green hydrogen tenders should be conducted by a publicly funded UK body, leveraging centralized purchasing power to achieve cost advantages and long-run supply security for producers in the Middle East, North Africa and Chile (IEA, 2023; Chen et al., 2025; Chopra and </w:t>
      </w:r>
      <w:proofErr w:type="spellStart"/>
      <w:r w:rsidRPr="005F56D5">
        <w:rPr>
          <w:color w:val="000000" w:themeColor="text1"/>
        </w:rPr>
        <w:t>Meindl</w:t>
      </w:r>
      <w:proofErr w:type="spellEnd"/>
      <w:r w:rsidRPr="005F56D5">
        <w:rPr>
          <w:color w:val="000000" w:themeColor="text1"/>
        </w:rPr>
        <w:t xml:space="preserve">, 2022). Although ammonia and LOHCs are more realistic carriers than liquid hydrogen, losses in reconversion efficiency remain a problem, and their viability across international borders has been proven with the Kawasaki (Shi et al., 2023) Brunei-Japan route. Infrastructure at Milford Haven, Isle of Grain, and South Hook has potential starting points but would require significant capital retrofitting before accepting hydrogen or ammonia at scale (He et al., 2021; Ma et al., 2022). The most resilient approach to addressing geopolitical, technological, and regulatory risks under the UK Low Carbon Hydrogen Standard is a dual-sourcing production model with imports (Bag et al., 2025; </w:t>
      </w:r>
      <w:proofErr w:type="spellStart"/>
      <w:r w:rsidRPr="005F56D5">
        <w:rPr>
          <w:color w:val="000000" w:themeColor="text1"/>
        </w:rPr>
        <w:t>Stöckl</w:t>
      </w:r>
      <w:proofErr w:type="spellEnd"/>
      <w:r w:rsidRPr="005F56D5">
        <w:rPr>
          <w:color w:val="000000" w:themeColor="text1"/>
        </w:rPr>
        <w:t xml:space="preserve"> et al., 2021).</w:t>
      </w:r>
    </w:p>
    <w:p w:rsidR="00044CC1" w:rsidRPr="005F56D5" w:rsidRDefault="00605FE4" w:rsidP="005F56D5">
      <w:pPr>
        <w:pStyle w:val="Heading2"/>
        <w:spacing w:before="0" w:after="0" w:line="360" w:lineRule="auto"/>
        <w:contextualSpacing/>
        <w:rPr>
          <w:color w:val="000000" w:themeColor="text1"/>
          <w:sz w:val="22"/>
          <w:szCs w:val="22"/>
        </w:rPr>
      </w:pPr>
      <w:r w:rsidRPr="005F56D5">
        <w:rPr>
          <w:color w:val="000000" w:themeColor="text1"/>
          <w:sz w:val="22"/>
          <w:szCs w:val="22"/>
        </w:rPr>
        <w:t>5.2 Sustainability Perspective</w:t>
      </w:r>
    </w:p>
    <w:p w:rsidR="00044CC1" w:rsidRPr="005F56D5" w:rsidRDefault="008514E9" w:rsidP="005F56D5">
      <w:pPr>
        <w:spacing w:line="360" w:lineRule="auto"/>
        <w:contextualSpacing/>
        <w:jc w:val="both"/>
        <w:rPr>
          <w:color w:val="000000" w:themeColor="text1"/>
        </w:rPr>
      </w:pPr>
      <w:r w:rsidRPr="005F56D5">
        <w:rPr>
          <w:color w:val="000000" w:themeColor="text1"/>
        </w:rPr>
        <w:t xml:space="preserve">Green hydrogen can provide significant GHG benefits only when electrification is prioritized, and hydrogen is implemented in hard-to-electrify industries, with potential savings of 280 </w:t>
      </w:r>
      <w:r w:rsidRPr="005F56D5">
        <w:rPr>
          <w:color w:val="000000" w:themeColor="text1"/>
        </w:rPr>
        <w:lastRenderedPageBreak/>
        <w:t xml:space="preserve">MtCO2e per year across all industries (Bennett and </w:t>
      </w:r>
      <w:proofErr w:type="spellStart"/>
      <w:r w:rsidRPr="005F56D5">
        <w:rPr>
          <w:color w:val="000000" w:themeColor="text1"/>
        </w:rPr>
        <w:t>Serrenho</w:t>
      </w:r>
      <w:proofErr w:type="spellEnd"/>
      <w:r w:rsidRPr="005F56D5">
        <w:rPr>
          <w:color w:val="000000" w:themeColor="text1"/>
        </w:rPr>
        <w:t>, 2025). Socially, the port, terminal, and industrial industries are expected to benefit from the creation of skilled jobs. Still, the rapid depletion of the North Sea's fossil fuel industry requires well-regulated just transition support in line with the overall European Green Deal guidelines (</w:t>
      </w:r>
      <w:proofErr w:type="spellStart"/>
      <w:r w:rsidRPr="005F56D5">
        <w:rPr>
          <w:color w:val="000000" w:themeColor="text1"/>
        </w:rPr>
        <w:t>Shahzad</w:t>
      </w:r>
      <w:proofErr w:type="spellEnd"/>
      <w:r w:rsidRPr="005F56D5">
        <w:rPr>
          <w:color w:val="000000" w:themeColor="text1"/>
        </w:rPr>
        <w:t xml:space="preserve"> et al., 2024; </w:t>
      </w:r>
      <w:proofErr w:type="spellStart"/>
      <w:r w:rsidRPr="005F56D5">
        <w:rPr>
          <w:color w:val="000000" w:themeColor="text1"/>
        </w:rPr>
        <w:t>Herdem</w:t>
      </w:r>
      <w:proofErr w:type="spellEnd"/>
      <w:r w:rsidRPr="005F56D5">
        <w:rPr>
          <w:color w:val="000000" w:themeColor="text1"/>
        </w:rPr>
        <w:t xml:space="preserve"> and Adams, 2026; Dixon et al., 2022). Green hydrogen is 2-7 times more expensive than grey hydrogen today, but steep </w:t>
      </w:r>
      <w:proofErr w:type="spellStart"/>
      <w:r w:rsidRPr="005F56D5">
        <w:rPr>
          <w:color w:val="000000" w:themeColor="text1"/>
        </w:rPr>
        <w:t>electrolyser</w:t>
      </w:r>
      <w:proofErr w:type="spellEnd"/>
      <w:r w:rsidRPr="005F56D5">
        <w:rPr>
          <w:color w:val="000000" w:themeColor="text1"/>
        </w:rPr>
        <w:t xml:space="preserve"> learning curves are expected to push the costs down to USD 2/kg in renewable-abundant areas (IEA, 2023; Kim et al., 2024). Subsequently, H2Global-style subsidies should be seen as temporary market-making tools, not as enduring support policies, and should fade away naturally as costs equal those of fossil substitutes (Kim et al., 2024).</w:t>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t>6. Recommendations and Conclusion</w:t>
      </w:r>
    </w:p>
    <w:p w:rsidR="00D869EE" w:rsidRPr="005F56D5" w:rsidRDefault="00D869EE" w:rsidP="005F56D5">
      <w:pPr>
        <w:pStyle w:val="ListParagraph"/>
        <w:numPr>
          <w:ilvl w:val="0"/>
          <w:numId w:val="2"/>
        </w:numPr>
        <w:spacing w:line="360" w:lineRule="auto"/>
        <w:contextualSpacing/>
        <w:jc w:val="both"/>
        <w:rPr>
          <w:color w:val="000000" w:themeColor="text1"/>
        </w:rPr>
      </w:pPr>
      <w:r w:rsidRPr="005F56D5">
        <w:rPr>
          <w:color w:val="000000" w:themeColor="text1"/>
        </w:rPr>
        <w:t>Implement UKHIA as a publicly-funded agency that is independent and acquires certified green hydrogen through competitive, three-corridor, double-auction.</w:t>
      </w:r>
    </w:p>
    <w:p w:rsidR="00D869EE" w:rsidRPr="005F56D5" w:rsidRDefault="00D869EE" w:rsidP="005F56D5">
      <w:pPr>
        <w:pStyle w:val="ListParagraph"/>
        <w:numPr>
          <w:ilvl w:val="0"/>
          <w:numId w:val="2"/>
        </w:numPr>
        <w:spacing w:line="360" w:lineRule="auto"/>
        <w:contextualSpacing/>
        <w:jc w:val="both"/>
        <w:rPr>
          <w:color w:val="000000" w:themeColor="text1"/>
        </w:rPr>
      </w:pPr>
      <w:r w:rsidRPr="005F56D5">
        <w:rPr>
          <w:color w:val="000000" w:themeColor="text1"/>
        </w:rPr>
        <w:t xml:space="preserve">Prioritize the target steel, cement, and long-distance freight as priority offtake markets, offering the greatest GHG reduction per pound of subsidy (Bennett and </w:t>
      </w:r>
      <w:proofErr w:type="spellStart"/>
      <w:r w:rsidRPr="005F56D5">
        <w:rPr>
          <w:color w:val="000000" w:themeColor="text1"/>
        </w:rPr>
        <w:t>Serrenho</w:t>
      </w:r>
      <w:proofErr w:type="spellEnd"/>
      <w:r w:rsidRPr="005F56D5">
        <w:rPr>
          <w:color w:val="000000" w:themeColor="text1"/>
        </w:rPr>
        <w:t>, 2025; CCC, 2021).</w:t>
      </w:r>
    </w:p>
    <w:p w:rsidR="00D869EE" w:rsidRPr="005F56D5" w:rsidRDefault="00D869EE" w:rsidP="005F56D5">
      <w:pPr>
        <w:pStyle w:val="ListParagraph"/>
        <w:numPr>
          <w:ilvl w:val="0"/>
          <w:numId w:val="2"/>
        </w:numPr>
        <w:spacing w:line="360" w:lineRule="auto"/>
        <w:contextualSpacing/>
        <w:jc w:val="both"/>
        <w:rPr>
          <w:color w:val="000000" w:themeColor="text1"/>
        </w:rPr>
      </w:pPr>
      <w:r w:rsidRPr="005F56D5">
        <w:rPr>
          <w:color w:val="000000" w:themeColor="text1"/>
        </w:rPr>
        <w:t>Adapt Milford Haven, Isle of Grain, and Humberside ports to receive ammonia and LOHC, lowering logistics expenses and supply-side risk (He et al., 2021).</w:t>
      </w:r>
    </w:p>
    <w:p w:rsidR="00D869EE" w:rsidRPr="005F56D5" w:rsidRDefault="00D869EE" w:rsidP="005F56D5">
      <w:pPr>
        <w:pStyle w:val="ListParagraph"/>
        <w:numPr>
          <w:ilvl w:val="0"/>
          <w:numId w:val="2"/>
        </w:numPr>
        <w:spacing w:line="360" w:lineRule="auto"/>
        <w:contextualSpacing/>
        <w:jc w:val="both"/>
        <w:rPr>
          <w:color w:val="000000" w:themeColor="text1"/>
        </w:rPr>
      </w:pPr>
      <w:r w:rsidRPr="005F56D5">
        <w:rPr>
          <w:color w:val="000000" w:themeColor="text1"/>
        </w:rPr>
        <w:t xml:space="preserve">Blend national 10 GW production goals with the imports of the UKHIA to balance price spikes and </w:t>
      </w:r>
      <w:proofErr w:type="spellStart"/>
      <w:r w:rsidRPr="005F56D5">
        <w:rPr>
          <w:color w:val="000000" w:themeColor="text1"/>
        </w:rPr>
        <w:t>electrolyser</w:t>
      </w:r>
      <w:proofErr w:type="spellEnd"/>
      <w:r w:rsidRPr="005F56D5">
        <w:rPr>
          <w:color w:val="000000" w:themeColor="text1"/>
        </w:rPr>
        <w:t xml:space="preserve"> hold-ups (</w:t>
      </w:r>
      <w:proofErr w:type="spellStart"/>
      <w:r w:rsidRPr="005F56D5">
        <w:rPr>
          <w:color w:val="000000" w:themeColor="text1"/>
        </w:rPr>
        <w:t>Stoeckl</w:t>
      </w:r>
      <w:proofErr w:type="spellEnd"/>
      <w:r w:rsidRPr="005F56D5">
        <w:rPr>
          <w:color w:val="000000" w:themeColor="text1"/>
        </w:rPr>
        <w:t xml:space="preserve"> et al., 2021; Bag et al., 2025).</w:t>
      </w:r>
    </w:p>
    <w:p w:rsidR="00D869EE" w:rsidRPr="005F56D5" w:rsidRDefault="00D869EE" w:rsidP="005F56D5">
      <w:pPr>
        <w:pStyle w:val="ListParagraph"/>
        <w:numPr>
          <w:ilvl w:val="0"/>
          <w:numId w:val="2"/>
        </w:numPr>
        <w:spacing w:line="360" w:lineRule="auto"/>
        <w:contextualSpacing/>
        <w:jc w:val="both"/>
        <w:rPr>
          <w:color w:val="000000" w:themeColor="text1"/>
        </w:rPr>
      </w:pPr>
      <w:r w:rsidRPr="005F56D5">
        <w:rPr>
          <w:color w:val="000000" w:themeColor="text1"/>
        </w:rPr>
        <w:t>Introduce UK Low Carbon Hydrogen Standard certification on all imports to ensure integrity of the lifecycle emissions and avoid greenwashing (</w:t>
      </w:r>
      <w:proofErr w:type="spellStart"/>
      <w:r w:rsidRPr="005F56D5">
        <w:rPr>
          <w:color w:val="000000" w:themeColor="text1"/>
        </w:rPr>
        <w:t>Herdem</w:t>
      </w:r>
      <w:proofErr w:type="spellEnd"/>
      <w:r w:rsidRPr="005F56D5">
        <w:rPr>
          <w:color w:val="000000" w:themeColor="text1"/>
        </w:rPr>
        <w:t xml:space="preserve"> and Adams, 2026; Bennett and </w:t>
      </w:r>
      <w:proofErr w:type="spellStart"/>
      <w:r w:rsidRPr="005F56D5">
        <w:rPr>
          <w:color w:val="000000" w:themeColor="text1"/>
        </w:rPr>
        <w:t>Serrenho</w:t>
      </w:r>
      <w:proofErr w:type="spellEnd"/>
      <w:r w:rsidRPr="005F56D5">
        <w:rPr>
          <w:color w:val="000000" w:themeColor="text1"/>
        </w:rPr>
        <w:t>, 2025).</w:t>
      </w:r>
    </w:p>
    <w:p w:rsidR="00044CC1" w:rsidRPr="005F56D5" w:rsidRDefault="00605FE4" w:rsidP="005F56D5">
      <w:pPr>
        <w:spacing w:line="360" w:lineRule="auto"/>
        <w:contextualSpacing/>
        <w:jc w:val="both"/>
        <w:rPr>
          <w:color w:val="000000" w:themeColor="text1"/>
        </w:rPr>
      </w:pPr>
      <w:r w:rsidRPr="005F56D5">
        <w:rPr>
          <w:color w:val="000000" w:themeColor="text1"/>
        </w:rPr>
        <w:t xml:space="preserve">In conclusion, the quantitative analysis of UK GHG emissions confirms a robust but insufficient downward trend. The linear forecast projects emissions reaching 320.8 </w:t>
      </w:r>
      <w:proofErr w:type="spellStart"/>
      <w:r w:rsidRPr="005F56D5">
        <w:rPr>
          <w:color w:val="000000" w:themeColor="text1"/>
        </w:rPr>
        <w:t>MtCO</w:t>
      </w:r>
      <w:r w:rsidRPr="005F56D5">
        <w:rPr>
          <w:rFonts w:ascii="Cambria Math" w:hAnsi="Cambria Math" w:cs="Cambria Math"/>
          <w:color w:val="000000" w:themeColor="text1"/>
        </w:rPr>
        <w:t>₂</w:t>
      </w:r>
      <w:r w:rsidRPr="005F56D5">
        <w:rPr>
          <w:color w:val="000000" w:themeColor="text1"/>
        </w:rPr>
        <w:t>e</w:t>
      </w:r>
      <w:proofErr w:type="spellEnd"/>
      <w:r w:rsidRPr="005F56D5">
        <w:rPr>
          <w:color w:val="000000" w:themeColor="text1"/>
        </w:rPr>
        <w:t xml:space="preserve"> by 2027 — still far short of the 2035 Carbon Budget target. The H2Global replication is not merely an energy procurement exercise; it is a systemic intervention to restructure the UK's industrial and transport supply chains around low-carbon hydrogen, delivering environmental, economic, and energy security co-benefits simultaneously. The analytical evidence, supported by emerging academic literature and the operational lessons of the H2Global pilot, makes a compelling case for prompt government action.</w:t>
      </w:r>
    </w:p>
    <w:p w:rsidR="00044CC1" w:rsidRPr="005F56D5" w:rsidRDefault="00605FE4" w:rsidP="005F56D5">
      <w:pPr>
        <w:pStyle w:val="Heading1"/>
        <w:spacing w:before="0" w:after="0" w:line="360" w:lineRule="auto"/>
        <w:contextualSpacing/>
        <w:rPr>
          <w:color w:val="000000" w:themeColor="text1"/>
          <w:sz w:val="22"/>
          <w:szCs w:val="22"/>
        </w:rPr>
      </w:pPr>
      <w:r w:rsidRPr="005F56D5">
        <w:rPr>
          <w:color w:val="000000" w:themeColor="text1"/>
          <w:sz w:val="22"/>
          <w:szCs w:val="22"/>
        </w:rPr>
        <w:t>7. References</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Bag, S., Gupta, S. and Wood, L.C. (2025) 'Developing green hydrogen-based regenerative supply chain strategies for a sustainable future: an empirical study', Business Strategy and the Environment, 34(1), pp. 1–22. Available at: https://doi.org/10.1002/bse.4334.</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lastRenderedPageBreak/>
        <w:t xml:space="preserve">Bennett, A. and </w:t>
      </w:r>
      <w:proofErr w:type="spellStart"/>
      <w:r w:rsidRPr="005F56D5">
        <w:rPr>
          <w:color w:val="000000" w:themeColor="text1"/>
        </w:rPr>
        <w:t>Serrenho</w:t>
      </w:r>
      <w:proofErr w:type="spellEnd"/>
      <w:r w:rsidRPr="005F56D5">
        <w:rPr>
          <w:color w:val="000000" w:themeColor="text1"/>
        </w:rPr>
        <w:t xml:space="preserve">, A.C. (2025) 'The potential role of hydrogen in </w:t>
      </w:r>
      <w:proofErr w:type="spellStart"/>
      <w:r w:rsidRPr="005F56D5">
        <w:rPr>
          <w:color w:val="000000" w:themeColor="text1"/>
        </w:rPr>
        <w:t>decarbonization</w:t>
      </w:r>
      <w:proofErr w:type="spellEnd"/>
      <w:r w:rsidRPr="005F56D5">
        <w:rPr>
          <w:color w:val="000000" w:themeColor="text1"/>
        </w:rPr>
        <w:t>: exploring global supply chain impacts and hydrogen use in the United Kingdom', Environmental Science &amp; Technology, 59(1), pp. 103–115. Available at: https://doi.org/10.1021/acs.est.4c14368.</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Castle, J.L. and Hendry, D.F. (2024) 'Five sensitive intervention points to achieve climate neutrality by 2050, illustrated by the UK', Renewable Energy, 226, 120445. Available at: https://doi.org/10.1016/j.renene.2024.120445.</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 xml:space="preserve">Chen, L., Smith, T. and </w:t>
      </w:r>
      <w:proofErr w:type="spellStart"/>
      <w:r w:rsidRPr="005F56D5">
        <w:rPr>
          <w:color w:val="000000" w:themeColor="text1"/>
        </w:rPr>
        <w:t>Raucci</w:t>
      </w:r>
      <w:proofErr w:type="spellEnd"/>
      <w:r w:rsidRPr="005F56D5">
        <w:rPr>
          <w:color w:val="000000" w:themeColor="text1"/>
        </w:rPr>
        <w:t>, C. (2025) 'Evaluation of hydrogen shipping cost for potential trade routes', WMU Journal of Maritime Affairs, 24(1), pp. 1–22. Available at: https://doi.org/10.1007/s13437-025-00365-w.</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 xml:space="preserve">Chopra, S. and </w:t>
      </w:r>
      <w:proofErr w:type="spellStart"/>
      <w:r w:rsidRPr="005F56D5">
        <w:rPr>
          <w:color w:val="000000" w:themeColor="text1"/>
        </w:rPr>
        <w:t>Meindl</w:t>
      </w:r>
      <w:proofErr w:type="spellEnd"/>
      <w:r w:rsidRPr="005F56D5">
        <w:rPr>
          <w:color w:val="000000" w:themeColor="text1"/>
        </w:rPr>
        <w:t xml:space="preserve">, P. (2022) Supply Chain Management: Strategy, Planning and Operation. 7th </w:t>
      </w:r>
      <w:proofErr w:type="spellStart"/>
      <w:r w:rsidRPr="005F56D5">
        <w:rPr>
          <w:color w:val="000000" w:themeColor="text1"/>
        </w:rPr>
        <w:t>edn</w:t>
      </w:r>
      <w:proofErr w:type="spellEnd"/>
      <w:r w:rsidRPr="005F56D5">
        <w:rPr>
          <w:color w:val="000000" w:themeColor="text1"/>
        </w:rPr>
        <w:t>. Pearson: Hoboken, NJ.</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Committee on Climate Change (CCC) (2021) Sixth Carbon Budget: The UK's Path to Net Zero. London: CCC. Available at: https://www.theccc.org.uk/publication/sixth-carbon-budget/ (Accessed: 1 April 2025).</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Department for Energy Security and Net Zero (DESNZ) (2025) Final UK Greenhouse Gas Emissions National Statistics: 1990 to 2023. London: DESNZ. Available at: https://www.gov.uk/government/statistics/final-uk-greenhouse-gas-emissions-national-statistics-1990-to-2023 (Accessed: 1 April 2025).</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Dixon, J., Bell, K. and Brush, S. (2022) 'Which way to net zero? A comparative analysis of seven UK 2050 decarbonisation pathways', Renewable and Sustainable Energy Transition, 2, 100016. Available at: https://doi.org/10.1016/j.rset.2021.100016.</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 xml:space="preserve">Ma, H., Sun, Z., </w:t>
      </w:r>
      <w:proofErr w:type="spellStart"/>
      <w:r w:rsidRPr="005F56D5">
        <w:rPr>
          <w:color w:val="000000" w:themeColor="text1"/>
        </w:rPr>
        <w:t>Xue</w:t>
      </w:r>
      <w:proofErr w:type="spellEnd"/>
      <w:r w:rsidRPr="005F56D5">
        <w:rPr>
          <w:color w:val="000000" w:themeColor="text1"/>
        </w:rPr>
        <w:t>, Z., Zhang, C. and Chen, Z. (2022) 'A systemic review of hydrogen supply chain in energy transition', Frontiers in Energy, 17, pp. 102–122. Available at: https://doi.org/10.1007/s11708-023-0861-0.</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 xml:space="preserve">Field, A. (2024) Discovering Statistics Using IBM SPSS Statistics. 6th </w:t>
      </w:r>
      <w:proofErr w:type="spellStart"/>
      <w:r w:rsidRPr="005F56D5">
        <w:rPr>
          <w:color w:val="000000" w:themeColor="text1"/>
        </w:rPr>
        <w:t>edn</w:t>
      </w:r>
      <w:proofErr w:type="spellEnd"/>
      <w:r w:rsidRPr="005F56D5">
        <w:rPr>
          <w:color w:val="000000" w:themeColor="text1"/>
        </w:rPr>
        <w:t>. SAGE Publications: London.</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Kundu</w:t>
      </w:r>
      <w:proofErr w:type="spellEnd"/>
      <w:r w:rsidRPr="005F56D5">
        <w:rPr>
          <w:color w:val="000000" w:themeColor="text1"/>
        </w:rPr>
        <w:t xml:space="preserve">, D., </w:t>
      </w:r>
      <w:proofErr w:type="spellStart"/>
      <w:r w:rsidRPr="005F56D5">
        <w:rPr>
          <w:color w:val="000000" w:themeColor="text1"/>
        </w:rPr>
        <w:t>Barathi</w:t>
      </w:r>
      <w:proofErr w:type="spellEnd"/>
      <w:r w:rsidRPr="005F56D5">
        <w:rPr>
          <w:color w:val="000000" w:themeColor="text1"/>
        </w:rPr>
        <w:t xml:space="preserve">, A., Pooja, K., Surya, M., Jacob, S., </w:t>
      </w:r>
      <w:proofErr w:type="spellStart"/>
      <w:r w:rsidRPr="005F56D5">
        <w:rPr>
          <w:color w:val="000000" w:themeColor="text1"/>
        </w:rPr>
        <w:t>Koley</w:t>
      </w:r>
      <w:proofErr w:type="spellEnd"/>
      <w:r w:rsidRPr="005F56D5">
        <w:rPr>
          <w:color w:val="000000" w:themeColor="text1"/>
        </w:rPr>
        <w:t xml:space="preserve">, A., </w:t>
      </w:r>
      <w:proofErr w:type="spellStart"/>
      <w:r w:rsidRPr="005F56D5">
        <w:rPr>
          <w:color w:val="000000" w:themeColor="text1"/>
        </w:rPr>
        <w:t>Samanta</w:t>
      </w:r>
      <w:proofErr w:type="spellEnd"/>
      <w:r w:rsidRPr="005F56D5">
        <w:rPr>
          <w:color w:val="000000" w:themeColor="text1"/>
        </w:rPr>
        <w:t xml:space="preserve">, P., Kumar, V., Devi </w:t>
      </w:r>
      <w:proofErr w:type="spellStart"/>
      <w:r w:rsidRPr="005F56D5">
        <w:rPr>
          <w:color w:val="000000" w:themeColor="text1"/>
        </w:rPr>
        <w:t>Chintagunta</w:t>
      </w:r>
      <w:proofErr w:type="spellEnd"/>
      <w:r w:rsidRPr="005F56D5">
        <w:rPr>
          <w:color w:val="000000" w:themeColor="text1"/>
        </w:rPr>
        <w:t xml:space="preserve">, A., </w:t>
      </w:r>
      <w:proofErr w:type="spellStart"/>
      <w:r w:rsidRPr="005F56D5">
        <w:rPr>
          <w:color w:val="000000" w:themeColor="text1"/>
        </w:rPr>
        <w:t>Sampath</w:t>
      </w:r>
      <w:proofErr w:type="spellEnd"/>
      <w:r w:rsidRPr="005F56D5">
        <w:rPr>
          <w:color w:val="000000" w:themeColor="text1"/>
        </w:rPr>
        <w:t xml:space="preserve"> Kumar, N.S., Balachandran, S., Singh, H. (2026) 'Green hydrogen pathways for a net-zero future: technologies, circular economy integration, life-cycle performance and safety dimensions', RSC Advances, 16, pp. 13471–13514. Available at: https://doi.org/10.1039/D5RA09599A.</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IEA (2023) Global Hydrogen Review 2023. Paris: International Energy Agency. Available at: https://www.iea.org/reports/global-hydrogen-review-2023 (Accessed: 1 April 2025).</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 xml:space="preserve">Kim, S., Park, J., </w:t>
      </w:r>
      <w:proofErr w:type="spellStart"/>
      <w:r w:rsidRPr="005F56D5">
        <w:rPr>
          <w:color w:val="000000" w:themeColor="text1"/>
        </w:rPr>
        <w:t>Heo</w:t>
      </w:r>
      <w:proofErr w:type="spellEnd"/>
      <w:r w:rsidRPr="005F56D5">
        <w:rPr>
          <w:color w:val="000000" w:themeColor="text1"/>
        </w:rPr>
        <w:t>, S. and Lee, J.H. (2024) 'Green hydrogen vs green ammonia: a hierarchical optimization-based integrated temporal approach for comparative techno-</w:t>
      </w:r>
      <w:r w:rsidRPr="005F56D5">
        <w:rPr>
          <w:color w:val="000000" w:themeColor="text1"/>
        </w:rPr>
        <w:lastRenderedPageBreak/>
        <w:t>economic analysis of international supply chains', Journal of Cleaner Production, 465, 142750. Available at: https://doi.org/10.1016/j.jclepro.2024.142750.</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 xml:space="preserve">He, G., </w:t>
      </w:r>
      <w:proofErr w:type="spellStart"/>
      <w:r w:rsidRPr="005F56D5">
        <w:rPr>
          <w:color w:val="000000" w:themeColor="text1"/>
        </w:rPr>
        <w:t>Mallapragada</w:t>
      </w:r>
      <w:proofErr w:type="spellEnd"/>
      <w:r w:rsidRPr="005F56D5">
        <w:rPr>
          <w:color w:val="000000" w:themeColor="text1"/>
        </w:rPr>
        <w:t xml:space="preserve">, D.S., Bose, A., </w:t>
      </w:r>
      <w:proofErr w:type="spellStart"/>
      <w:r w:rsidRPr="005F56D5">
        <w:rPr>
          <w:color w:val="000000" w:themeColor="text1"/>
        </w:rPr>
        <w:t>Heuberger</w:t>
      </w:r>
      <w:proofErr w:type="spellEnd"/>
      <w:r w:rsidRPr="005F56D5">
        <w:rPr>
          <w:color w:val="000000" w:themeColor="text1"/>
        </w:rPr>
        <w:t xml:space="preserve">, C.F. and </w:t>
      </w:r>
      <w:proofErr w:type="spellStart"/>
      <w:r w:rsidRPr="005F56D5">
        <w:rPr>
          <w:color w:val="000000" w:themeColor="text1"/>
        </w:rPr>
        <w:t>Gençer</w:t>
      </w:r>
      <w:proofErr w:type="spellEnd"/>
      <w:r w:rsidRPr="005F56D5">
        <w:rPr>
          <w:color w:val="000000" w:themeColor="text1"/>
        </w:rPr>
        <w:t>, E. (2021) 'Hydrogen supply chain planning with flexible transmission and storage scheduling', IEEE Transactions on Sustainable Energy, 12(3), pp. 1730–1740. Available at: https://doi.org/10.1109/TSTE.2021.3064015.</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Makridakis</w:t>
      </w:r>
      <w:proofErr w:type="spellEnd"/>
      <w:r w:rsidRPr="005F56D5">
        <w:rPr>
          <w:color w:val="000000" w:themeColor="text1"/>
        </w:rPr>
        <w:t xml:space="preserve">, S., </w:t>
      </w:r>
      <w:proofErr w:type="spellStart"/>
      <w:r w:rsidRPr="005F56D5">
        <w:rPr>
          <w:color w:val="000000" w:themeColor="text1"/>
        </w:rPr>
        <w:t>Spiliotis</w:t>
      </w:r>
      <w:proofErr w:type="spellEnd"/>
      <w:r w:rsidRPr="005F56D5">
        <w:rPr>
          <w:color w:val="000000" w:themeColor="text1"/>
        </w:rPr>
        <w:t xml:space="preserve">, E. and </w:t>
      </w:r>
      <w:proofErr w:type="spellStart"/>
      <w:r w:rsidRPr="005F56D5">
        <w:rPr>
          <w:color w:val="000000" w:themeColor="text1"/>
        </w:rPr>
        <w:t>Assimakopoulos</w:t>
      </w:r>
      <w:proofErr w:type="spellEnd"/>
      <w:r w:rsidRPr="005F56D5">
        <w:rPr>
          <w:color w:val="000000" w:themeColor="text1"/>
        </w:rPr>
        <w:t>, V. (2022) 'M5 accuracy competition: results, findings and conclusions', International Journal of Forecasting, 38(4), pp. 1346–1364. Available at: https://doi.org/10.1016/j.ijforecast.2021.11.013.</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Mathagu</w:t>
      </w:r>
      <w:proofErr w:type="spellEnd"/>
      <w:r w:rsidRPr="005F56D5">
        <w:rPr>
          <w:color w:val="000000" w:themeColor="text1"/>
        </w:rPr>
        <w:t xml:space="preserve">, S.W. and </w:t>
      </w:r>
      <w:proofErr w:type="spellStart"/>
      <w:r w:rsidRPr="005F56D5">
        <w:rPr>
          <w:color w:val="000000" w:themeColor="text1"/>
        </w:rPr>
        <w:t>Kamondo</w:t>
      </w:r>
      <w:proofErr w:type="spellEnd"/>
      <w:r w:rsidRPr="005F56D5">
        <w:rPr>
          <w:color w:val="000000" w:themeColor="text1"/>
        </w:rPr>
        <w:t>, K. (2025) 'Navigating towards 2050: evaluating the UK's net-zero emission ambitions', International Journal of Sustainable and Green Energy, 14(2), pp. 88–98. Available at: https://doi.org/10.11648/j.ijsge.20251402.13.</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Thies</w:t>
      </w:r>
      <w:proofErr w:type="spellEnd"/>
      <w:r w:rsidRPr="005F56D5">
        <w:rPr>
          <w:color w:val="000000" w:themeColor="text1"/>
        </w:rPr>
        <w:t xml:space="preserve">, C., </w:t>
      </w:r>
      <w:proofErr w:type="spellStart"/>
      <w:r w:rsidRPr="005F56D5">
        <w:rPr>
          <w:color w:val="000000" w:themeColor="text1"/>
        </w:rPr>
        <w:t>Buscher</w:t>
      </w:r>
      <w:proofErr w:type="spellEnd"/>
      <w:r w:rsidRPr="005F56D5">
        <w:rPr>
          <w:color w:val="000000" w:themeColor="text1"/>
        </w:rPr>
        <w:t xml:space="preserve">, U., </w:t>
      </w:r>
      <w:proofErr w:type="spellStart"/>
      <w:r w:rsidRPr="005F56D5">
        <w:rPr>
          <w:color w:val="000000" w:themeColor="text1"/>
        </w:rPr>
        <w:t>Meisel</w:t>
      </w:r>
      <w:proofErr w:type="spellEnd"/>
      <w:r w:rsidRPr="005F56D5">
        <w:rPr>
          <w:color w:val="000000" w:themeColor="text1"/>
        </w:rPr>
        <w:t xml:space="preserve">, F., </w:t>
      </w:r>
      <w:proofErr w:type="spellStart"/>
      <w:r w:rsidRPr="005F56D5">
        <w:rPr>
          <w:color w:val="000000" w:themeColor="text1"/>
        </w:rPr>
        <w:t>Klumpp</w:t>
      </w:r>
      <w:proofErr w:type="spellEnd"/>
      <w:r w:rsidRPr="005F56D5">
        <w:rPr>
          <w:color w:val="000000" w:themeColor="text1"/>
        </w:rPr>
        <w:t xml:space="preserve">, M., </w:t>
      </w:r>
      <w:proofErr w:type="spellStart"/>
      <w:r w:rsidRPr="005F56D5">
        <w:rPr>
          <w:color w:val="000000" w:themeColor="text1"/>
        </w:rPr>
        <w:t>Volling</w:t>
      </w:r>
      <w:proofErr w:type="spellEnd"/>
      <w:r w:rsidRPr="005F56D5">
        <w:rPr>
          <w:color w:val="000000" w:themeColor="text1"/>
        </w:rPr>
        <w:t>, T. (2026) 'Hydrogen supply chain management', Journal of Business Economics, 96, pp. 129–135. Available at: https://doi.org/10.1007/s11573-026-01261-2.</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Herdem</w:t>
      </w:r>
      <w:proofErr w:type="spellEnd"/>
      <w:r w:rsidRPr="005F56D5">
        <w:rPr>
          <w:color w:val="000000" w:themeColor="text1"/>
        </w:rPr>
        <w:t>, M.S. and Adams, T.A. (2026) 'Green hydrogen production systems with insights from green ammonia: a review and data-driven techno-economic and environmental meta-analysis', Energy Conversion and Management, 349, 120859. Available at: https://doi.org/10.1016/j.enconman.2025.120859.</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van der Steen, M. (2025) H2Global: Can Private Investment Help in Scaling the European Green Hydrogen Economy. Deloitte UK. Available at: https://www.deloitte.com/uk/en/services/tax/blogs/can-private-investment-help-in-scaling-the-european-green-hydrogen-economy.html (Accessed: 10 April 2026).</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Shahzad</w:t>
      </w:r>
      <w:proofErr w:type="spellEnd"/>
      <w:r w:rsidRPr="005F56D5">
        <w:rPr>
          <w:color w:val="000000" w:themeColor="text1"/>
        </w:rPr>
        <w:t xml:space="preserve">, S., Lee, C., Mohan, V. and </w:t>
      </w:r>
      <w:proofErr w:type="spellStart"/>
      <w:r w:rsidRPr="005F56D5">
        <w:rPr>
          <w:color w:val="000000" w:themeColor="text1"/>
        </w:rPr>
        <w:t>Qayyum</w:t>
      </w:r>
      <w:proofErr w:type="spellEnd"/>
      <w:r w:rsidRPr="005F56D5">
        <w:rPr>
          <w:color w:val="000000" w:themeColor="text1"/>
        </w:rPr>
        <w:t>, A. (2024) 'Charting the UK's path to net zero emissions by 2050: challenges, strategies, and future directions', IET Smart Grid, 7(6), pp. 716–736. Available at: https://doi.org/10.1049/stg2.12185.</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Stöckl</w:t>
      </w:r>
      <w:proofErr w:type="spellEnd"/>
      <w:r w:rsidRPr="005F56D5">
        <w:rPr>
          <w:color w:val="000000" w:themeColor="text1"/>
        </w:rPr>
        <w:t xml:space="preserve">, F., </w:t>
      </w:r>
      <w:proofErr w:type="spellStart"/>
      <w:r w:rsidRPr="005F56D5">
        <w:rPr>
          <w:color w:val="000000" w:themeColor="text1"/>
        </w:rPr>
        <w:t>Schill</w:t>
      </w:r>
      <w:proofErr w:type="spellEnd"/>
      <w:r w:rsidRPr="005F56D5">
        <w:rPr>
          <w:color w:val="000000" w:themeColor="text1"/>
        </w:rPr>
        <w:t xml:space="preserve">, W.P. and </w:t>
      </w:r>
      <w:proofErr w:type="spellStart"/>
      <w:r w:rsidRPr="005F56D5">
        <w:rPr>
          <w:color w:val="000000" w:themeColor="text1"/>
        </w:rPr>
        <w:t>Zerrahn</w:t>
      </w:r>
      <w:proofErr w:type="spellEnd"/>
      <w:r w:rsidRPr="005F56D5">
        <w:rPr>
          <w:color w:val="000000" w:themeColor="text1"/>
        </w:rPr>
        <w:t>, A. (2021) 'Optimal supply chains and power sector benefits of green hydrogen', Scientific Reports, 11(1), 14191. Available at: https://doi.org/10.1038/s41598-021-92511-6.</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Towards a Future Hydrogen Supply Chain (2024) 'Towards a future hydrogen supply chain: a review of technologies and challenges', Sustainability, 16(5), 1890. Available at: https://doi.org/10.3390/su16051890.</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Zhai</w:t>
      </w:r>
      <w:proofErr w:type="spellEnd"/>
      <w:r w:rsidRPr="005F56D5">
        <w:rPr>
          <w:color w:val="000000" w:themeColor="text1"/>
        </w:rPr>
        <w:t>, L., Liu, S. and Xiang, Z. (2023) 'Ammonia as a carbon-free hydrogen carrier for fuel cells: a perspective', Industrial Chemistry and Materials, 1, pp. 332–342. Available at: https://doi.org/10.1039/D3IM00036B.</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lastRenderedPageBreak/>
        <w:t>UK Government (2021) UK Hydrogen Strategy. London: BEIS. Available at: https://www.gov.uk/government/publications/uk-hydrogen-strategy (Accessed: 1 April 2025).</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UK Government (2022) British Energy Security Strategy. London: BEIS. Available at: https://www.gov.uk/government/publications/british-energy-security-strategy (Accessed: 1 April 2025).</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Gorji</w:t>
      </w:r>
      <w:proofErr w:type="spellEnd"/>
      <w:r w:rsidRPr="005F56D5">
        <w:rPr>
          <w:color w:val="000000" w:themeColor="text1"/>
        </w:rPr>
        <w:t>, S.A. (2023) 'Challenges and opportunities in green hydrogen supply chain through metaheuristic optimization', Journal of Computational Design and Engineering, 10(3), pp. 1143–1157. Available at: https://doi.org/10.1093/jcde/qwad043.</w:t>
      </w:r>
    </w:p>
    <w:p w:rsidR="00044CC1" w:rsidRPr="005F56D5" w:rsidRDefault="00605FE4" w:rsidP="005F56D5">
      <w:pPr>
        <w:spacing w:line="360" w:lineRule="auto"/>
        <w:ind w:left="720" w:hanging="720"/>
        <w:contextualSpacing/>
        <w:jc w:val="both"/>
        <w:rPr>
          <w:color w:val="000000" w:themeColor="text1"/>
        </w:rPr>
      </w:pPr>
      <w:r w:rsidRPr="005F56D5">
        <w:rPr>
          <w:color w:val="000000" w:themeColor="text1"/>
        </w:rPr>
        <w:t xml:space="preserve">Shi, J., Zhu, Y., Feng, Y., Yang, J. and Xia, C. (2023) 'A prompt </w:t>
      </w:r>
      <w:proofErr w:type="spellStart"/>
      <w:r w:rsidRPr="005F56D5">
        <w:rPr>
          <w:color w:val="000000" w:themeColor="text1"/>
        </w:rPr>
        <w:t>decarbonization</w:t>
      </w:r>
      <w:proofErr w:type="spellEnd"/>
      <w:r w:rsidRPr="005F56D5">
        <w:rPr>
          <w:color w:val="000000" w:themeColor="text1"/>
        </w:rPr>
        <w:t xml:space="preserve"> pathway for shipping: green hydrogen, ammonia, and methanol production and utilization in marine engines', Atmosphere, 14(3), 584. Available at: https://doi.org/10.3390/atmos14030584.</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Strielkowski</w:t>
      </w:r>
      <w:proofErr w:type="spellEnd"/>
      <w:r w:rsidRPr="005F56D5">
        <w:rPr>
          <w:color w:val="000000" w:themeColor="text1"/>
        </w:rPr>
        <w:t>, W. (2025) 'Efficient low-carbon development in green hydrogen and ammonia economy: a case of Ukraine'. Available at: https://doi.org/10.48550/arXiv.2503.22326.</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Genge</w:t>
      </w:r>
      <w:proofErr w:type="spellEnd"/>
      <w:r w:rsidRPr="005F56D5">
        <w:rPr>
          <w:color w:val="000000" w:themeColor="text1"/>
        </w:rPr>
        <w:t xml:space="preserve">, L. and </w:t>
      </w:r>
      <w:proofErr w:type="spellStart"/>
      <w:r w:rsidRPr="005F56D5">
        <w:rPr>
          <w:color w:val="000000" w:themeColor="text1"/>
        </w:rPr>
        <w:t>Müsgens</w:t>
      </w:r>
      <w:proofErr w:type="spellEnd"/>
      <w:r w:rsidRPr="005F56D5">
        <w:rPr>
          <w:color w:val="000000" w:themeColor="text1"/>
        </w:rPr>
        <w:t>, F. (2025) 'Green ammonia: a techno-economic supply chain optimization'. Available at: https://doi.org/10.48550/arXiv.2507.02412.</w:t>
      </w:r>
    </w:p>
    <w:p w:rsidR="00044CC1" w:rsidRPr="005F56D5" w:rsidRDefault="00605FE4" w:rsidP="005F56D5">
      <w:pPr>
        <w:spacing w:line="360" w:lineRule="auto"/>
        <w:ind w:left="720" w:hanging="720"/>
        <w:contextualSpacing/>
        <w:jc w:val="both"/>
        <w:rPr>
          <w:color w:val="000000" w:themeColor="text1"/>
        </w:rPr>
      </w:pPr>
      <w:proofErr w:type="spellStart"/>
      <w:r w:rsidRPr="005F56D5">
        <w:rPr>
          <w:color w:val="000000" w:themeColor="text1"/>
        </w:rPr>
        <w:t>Capros</w:t>
      </w:r>
      <w:proofErr w:type="spellEnd"/>
      <w:r w:rsidRPr="005F56D5">
        <w:rPr>
          <w:color w:val="000000" w:themeColor="text1"/>
        </w:rPr>
        <w:t xml:space="preserve">, P., </w:t>
      </w:r>
      <w:proofErr w:type="spellStart"/>
      <w:r w:rsidRPr="005F56D5">
        <w:rPr>
          <w:color w:val="000000" w:themeColor="text1"/>
        </w:rPr>
        <w:t>Zazias</w:t>
      </w:r>
      <w:proofErr w:type="spellEnd"/>
      <w:r w:rsidRPr="005F56D5">
        <w:rPr>
          <w:color w:val="000000" w:themeColor="text1"/>
        </w:rPr>
        <w:t xml:space="preserve">, G. and </w:t>
      </w:r>
      <w:proofErr w:type="spellStart"/>
      <w:r w:rsidRPr="005F56D5">
        <w:rPr>
          <w:color w:val="000000" w:themeColor="text1"/>
        </w:rPr>
        <w:t>Evangelopoulou</w:t>
      </w:r>
      <w:proofErr w:type="spellEnd"/>
      <w:r w:rsidRPr="005F56D5">
        <w:rPr>
          <w:color w:val="000000" w:themeColor="text1"/>
        </w:rPr>
        <w:t>, S. (2022) 'Green hydrogen and fuel cells in European long-term energy scenarios', Energy Policy, 161, 112710. Available at: https://doi.org/10.1016/j.enpol.2021.112710.</w:t>
      </w:r>
    </w:p>
    <w:sectPr w:rsidR="00044CC1" w:rsidRPr="005F56D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CC1" w:rsidRDefault="00DB5CC1">
      <w:r>
        <w:separator/>
      </w:r>
    </w:p>
  </w:endnote>
  <w:endnote w:type="continuationSeparator" w:id="0">
    <w:p w:rsidR="00DB5CC1" w:rsidRDefault="00DB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C1" w:rsidRDefault="00605FE4">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5F56D5">
      <w:rPr>
        <w:noProof/>
        <w:color w:val="595959"/>
        <w:sz w:val="18"/>
        <w:szCs w:val="18"/>
      </w:rPr>
      <w:t>3</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5F56D5">
      <w:rPr>
        <w:noProof/>
        <w:color w:val="595959"/>
        <w:sz w:val="18"/>
        <w:szCs w:val="18"/>
      </w:rPr>
      <w:t>12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CC1" w:rsidRDefault="00DB5CC1">
      <w:r>
        <w:separator/>
      </w:r>
    </w:p>
  </w:footnote>
  <w:footnote w:type="continuationSeparator" w:id="0">
    <w:p w:rsidR="00DB5CC1" w:rsidRDefault="00DB5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C1" w:rsidRDefault="00605FE4">
    <w:pPr>
      <w:pBdr>
        <w:bottom w:val="single" w:sz="6" w:space="1" w:color="2E75B6"/>
      </w:pBdr>
    </w:pPr>
    <w:r>
      <w:rPr>
        <w:color w:val="595959"/>
        <w:sz w:val="18"/>
        <w:szCs w:val="18"/>
      </w:rPr>
      <w:t>Replication of the H2Global Project – Managing Operations and Supply Chain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13A4F"/>
    <w:multiLevelType w:val="hybridMultilevel"/>
    <w:tmpl w:val="3AF8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C82572"/>
    <w:multiLevelType w:val="hybridMultilevel"/>
    <w:tmpl w:val="5E08C45C"/>
    <w:lvl w:ilvl="0" w:tplc="7B3E6D2E">
      <w:start w:val="1"/>
      <w:numFmt w:val="bullet"/>
      <w:lvlText w:val="●"/>
      <w:lvlJc w:val="left"/>
      <w:pPr>
        <w:ind w:left="720" w:hanging="360"/>
      </w:pPr>
    </w:lvl>
    <w:lvl w:ilvl="1" w:tplc="1AB27F72">
      <w:start w:val="1"/>
      <w:numFmt w:val="bullet"/>
      <w:lvlText w:val="○"/>
      <w:lvlJc w:val="left"/>
      <w:pPr>
        <w:ind w:left="1440" w:hanging="360"/>
      </w:pPr>
    </w:lvl>
    <w:lvl w:ilvl="2" w:tplc="9670B496">
      <w:start w:val="1"/>
      <w:numFmt w:val="bullet"/>
      <w:lvlText w:val="■"/>
      <w:lvlJc w:val="left"/>
      <w:pPr>
        <w:ind w:left="2160" w:hanging="360"/>
      </w:pPr>
    </w:lvl>
    <w:lvl w:ilvl="3" w:tplc="4FC835FA">
      <w:start w:val="1"/>
      <w:numFmt w:val="bullet"/>
      <w:lvlText w:val="●"/>
      <w:lvlJc w:val="left"/>
      <w:pPr>
        <w:ind w:left="2880" w:hanging="360"/>
      </w:pPr>
    </w:lvl>
    <w:lvl w:ilvl="4" w:tplc="1A3E4034">
      <w:start w:val="1"/>
      <w:numFmt w:val="bullet"/>
      <w:lvlText w:val="○"/>
      <w:lvlJc w:val="left"/>
      <w:pPr>
        <w:ind w:left="3600" w:hanging="360"/>
      </w:pPr>
    </w:lvl>
    <w:lvl w:ilvl="5" w:tplc="9140CAD0">
      <w:start w:val="1"/>
      <w:numFmt w:val="bullet"/>
      <w:lvlText w:val="■"/>
      <w:lvlJc w:val="left"/>
      <w:pPr>
        <w:ind w:left="4320" w:hanging="360"/>
      </w:pPr>
    </w:lvl>
    <w:lvl w:ilvl="6" w:tplc="1C1CCBB0">
      <w:start w:val="1"/>
      <w:numFmt w:val="bullet"/>
      <w:lvlText w:val="●"/>
      <w:lvlJc w:val="left"/>
      <w:pPr>
        <w:ind w:left="5040" w:hanging="360"/>
      </w:pPr>
    </w:lvl>
    <w:lvl w:ilvl="7" w:tplc="D190139C">
      <w:start w:val="1"/>
      <w:numFmt w:val="bullet"/>
      <w:lvlText w:val="●"/>
      <w:lvlJc w:val="left"/>
      <w:pPr>
        <w:ind w:left="5760" w:hanging="360"/>
      </w:pPr>
    </w:lvl>
    <w:lvl w:ilvl="8" w:tplc="C2C6B93A">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C1"/>
    <w:rsid w:val="00044CC1"/>
    <w:rsid w:val="002D3CA1"/>
    <w:rsid w:val="005402CD"/>
    <w:rsid w:val="005F56D5"/>
    <w:rsid w:val="00605FE4"/>
    <w:rsid w:val="00735C77"/>
    <w:rsid w:val="008514E9"/>
    <w:rsid w:val="00A47703"/>
    <w:rsid w:val="00C52686"/>
    <w:rsid w:val="00CD2AFC"/>
    <w:rsid w:val="00D869EE"/>
    <w:rsid w:val="00DB5CC1"/>
    <w:rsid w:val="00DE002C"/>
    <w:rsid w:val="00EB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6CD2"/>
  <w15:docId w15:val="{A144B1E1-DCA1-4AAC-9AEA-FC89CA1F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20" w:after="160"/>
      <w:outlineLvl w:val="0"/>
    </w:pPr>
    <w:rPr>
      <w:b/>
      <w:bCs/>
      <w:color w:val="1F3864"/>
      <w:sz w:val="28"/>
      <w:szCs w:val="28"/>
    </w:rPr>
  </w:style>
  <w:style w:type="paragraph" w:styleId="Heading2">
    <w:name w:val="heading 2"/>
    <w:qFormat/>
    <w:pPr>
      <w:spacing w:before="240" w:after="120"/>
      <w:outlineLvl w:val="1"/>
    </w:pPr>
    <w:rPr>
      <w:b/>
      <w:bCs/>
      <w:color w:val="2E75B6"/>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3411</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11</cp:revision>
  <dcterms:created xsi:type="dcterms:W3CDTF">2026-05-02T05:52:00Z</dcterms:created>
  <dcterms:modified xsi:type="dcterms:W3CDTF">2026-05-02T08:06:00Z</dcterms:modified>
</cp:coreProperties>
</file>