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7E6A" w14:textId="77777777" w:rsidR="00425C8F" w:rsidRPr="00425C8F" w:rsidRDefault="00425C8F" w:rsidP="00425C8F">
      <w:pPr>
        <w:spacing w:line="480" w:lineRule="auto"/>
        <w:jc w:val="both"/>
        <w:rPr>
          <w:rFonts w:ascii="Times New Roman" w:hAnsi="Times New Roman" w:cs="Times New Roman"/>
        </w:rPr>
      </w:pPr>
    </w:p>
    <w:p w14:paraId="618E97AE" w14:textId="77777777" w:rsidR="00425C8F" w:rsidRPr="00425C8F" w:rsidRDefault="00425C8F" w:rsidP="00425C8F">
      <w:pPr>
        <w:spacing w:line="480" w:lineRule="auto"/>
        <w:jc w:val="both"/>
        <w:rPr>
          <w:rFonts w:ascii="Times New Roman" w:hAnsi="Times New Roman" w:cs="Times New Roman"/>
        </w:rPr>
      </w:pPr>
    </w:p>
    <w:p w14:paraId="49AA8B8C" w14:textId="77777777" w:rsidR="00425C8F" w:rsidRPr="00425C8F" w:rsidRDefault="00425C8F" w:rsidP="00425C8F">
      <w:pPr>
        <w:spacing w:line="480" w:lineRule="auto"/>
        <w:jc w:val="both"/>
        <w:rPr>
          <w:rFonts w:ascii="Times New Roman" w:hAnsi="Times New Roman" w:cs="Times New Roman"/>
        </w:rPr>
      </w:pPr>
    </w:p>
    <w:p w14:paraId="6EBADF5B" w14:textId="10B39E9B" w:rsidR="00425C8F" w:rsidRPr="00425C8F" w:rsidRDefault="00425C8F" w:rsidP="00425C8F">
      <w:pPr>
        <w:spacing w:line="480" w:lineRule="auto"/>
        <w:jc w:val="center"/>
        <w:rPr>
          <w:rFonts w:ascii="Times New Roman" w:hAnsi="Times New Roman" w:cs="Times New Roman"/>
        </w:rPr>
      </w:pPr>
      <w:r w:rsidRPr="00425C8F">
        <w:rPr>
          <w:rFonts w:ascii="Times New Roman" w:hAnsi="Times New Roman" w:cs="Times New Roman"/>
          <w:b/>
          <w:bCs/>
        </w:rPr>
        <w:t>Reduction of Return to Hospital Readmissions</w:t>
      </w:r>
      <w:r w:rsidRPr="00425C8F">
        <w:rPr>
          <w:rFonts w:ascii="Times New Roman" w:hAnsi="Times New Roman" w:cs="Times New Roman"/>
        </w:rPr>
        <w:br/>
        <w:t>Jarrard A. Dixon</w:t>
      </w:r>
      <w:r w:rsidRPr="00425C8F">
        <w:rPr>
          <w:rFonts w:ascii="Times New Roman" w:hAnsi="Times New Roman" w:cs="Times New Roman"/>
        </w:rPr>
        <w:br/>
        <w:t>University of Texas at Arlington</w:t>
      </w:r>
      <w:r w:rsidRPr="00425C8F">
        <w:rPr>
          <w:rFonts w:ascii="Times New Roman" w:hAnsi="Times New Roman" w:cs="Times New Roman"/>
        </w:rPr>
        <w:br/>
        <w:t>NURS 4685: Capstone</w:t>
      </w:r>
      <w:r w:rsidRPr="00425C8F">
        <w:rPr>
          <w:rFonts w:ascii="Times New Roman" w:hAnsi="Times New Roman" w:cs="Times New Roman"/>
        </w:rPr>
        <w:br/>
        <w:t>Instructor: Jeanean Boyd, DNP, MSN, RN</w:t>
      </w:r>
      <w:r w:rsidRPr="00425C8F">
        <w:rPr>
          <w:rFonts w:ascii="Times New Roman" w:hAnsi="Times New Roman" w:cs="Times New Roman"/>
        </w:rPr>
        <w:br/>
      </w:r>
      <w:r w:rsidRPr="00425C8F">
        <w:rPr>
          <w:rFonts w:ascii="Times New Roman" w:hAnsi="Times New Roman" w:cs="Times New Roman"/>
        </w:rPr>
        <w:t>Date:</w:t>
      </w:r>
    </w:p>
    <w:p w14:paraId="26536878" w14:textId="77777777" w:rsidR="00425C8F" w:rsidRDefault="00425C8F" w:rsidP="00425C8F">
      <w:pPr>
        <w:spacing w:line="480" w:lineRule="auto"/>
        <w:jc w:val="both"/>
        <w:rPr>
          <w:rFonts w:ascii="Times New Roman" w:hAnsi="Times New Roman" w:cs="Times New Roman"/>
        </w:rPr>
      </w:pPr>
    </w:p>
    <w:p w14:paraId="69B3B96D" w14:textId="77777777" w:rsidR="00425C8F" w:rsidRDefault="00425C8F" w:rsidP="00425C8F">
      <w:pPr>
        <w:spacing w:line="480" w:lineRule="auto"/>
        <w:jc w:val="both"/>
        <w:rPr>
          <w:rFonts w:ascii="Times New Roman" w:hAnsi="Times New Roman" w:cs="Times New Roman"/>
        </w:rPr>
      </w:pPr>
    </w:p>
    <w:p w14:paraId="034835FA" w14:textId="77777777" w:rsidR="00425C8F" w:rsidRDefault="00425C8F" w:rsidP="00425C8F">
      <w:pPr>
        <w:spacing w:line="480" w:lineRule="auto"/>
        <w:jc w:val="both"/>
        <w:rPr>
          <w:rFonts w:ascii="Times New Roman" w:hAnsi="Times New Roman" w:cs="Times New Roman"/>
        </w:rPr>
      </w:pPr>
    </w:p>
    <w:p w14:paraId="5D404A32" w14:textId="77777777" w:rsidR="00425C8F" w:rsidRDefault="00425C8F" w:rsidP="00425C8F">
      <w:pPr>
        <w:spacing w:line="480" w:lineRule="auto"/>
        <w:jc w:val="both"/>
        <w:rPr>
          <w:rFonts w:ascii="Times New Roman" w:hAnsi="Times New Roman" w:cs="Times New Roman"/>
        </w:rPr>
      </w:pPr>
    </w:p>
    <w:p w14:paraId="5BD0402F" w14:textId="77777777" w:rsidR="00425C8F" w:rsidRDefault="00425C8F" w:rsidP="00425C8F">
      <w:pPr>
        <w:spacing w:line="480" w:lineRule="auto"/>
        <w:jc w:val="both"/>
        <w:rPr>
          <w:rFonts w:ascii="Times New Roman" w:hAnsi="Times New Roman" w:cs="Times New Roman"/>
        </w:rPr>
      </w:pPr>
    </w:p>
    <w:p w14:paraId="7D8AB994" w14:textId="77777777" w:rsidR="00425C8F" w:rsidRDefault="00425C8F" w:rsidP="00425C8F">
      <w:pPr>
        <w:spacing w:line="480" w:lineRule="auto"/>
        <w:jc w:val="both"/>
        <w:rPr>
          <w:rFonts w:ascii="Times New Roman" w:hAnsi="Times New Roman" w:cs="Times New Roman"/>
        </w:rPr>
      </w:pPr>
    </w:p>
    <w:p w14:paraId="321C41F2" w14:textId="77777777" w:rsidR="00425C8F" w:rsidRDefault="00425C8F" w:rsidP="00425C8F">
      <w:pPr>
        <w:spacing w:line="480" w:lineRule="auto"/>
        <w:jc w:val="both"/>
        <w:rPr>
          <w:rFonts w:ascii="Times New Roman" w:hAnsi="Times New Roman" w:cs="Times New Roman"/>
        </w:rPr>
      </w:pPr>
    </w:p>
    <w:p w14:paraId="75B29B5D" w14:textId="77777777" w:rsidR="00425C8F" w:rsidRDefault="00425C8F" w:rsidP="00425C8F">
      <w:pPr>
        <w:spacing w:line="480" w:lineRule="auto"/>
        <w:jc w:val="both"/>
        <w:rPr>
          <w:rFonts w:ascii="Times New Roman" w:hAnsi="Times New Roman" w:cs="Times New Roman"/>
        </w:rPr>
      </w:pPr>
    </w:p>
    <w:p w14:paraId="5F372093" w14:textId="77777777" w:rsidR="00425C8F" w:rsidRPr="00425C8F" w:rsidRDefault="00425C8F" w:rsidP="00425C8F">
      <w:pPr>
        <w:spacing w:line="480" w:lineRule="auto"/>
        <w:jc w:val="both"/>
        <w:rPr>
          <w:rFonts w:ascii="Times New Roman" w:hAnsi="Times New Roman" w:cs="Times New Roman"/>
        </w:rPr>
      </w:pPr>
    </w:p>
    <w:p w14:paraId="4BE5E07D" w14:textId="77777777" w:rsidR="00425C8F" w:rsidRDefault="00425C8F" w:rsidP="00425C8F">
      <w:pPr>
        <w:spacing w:line="480" w:lineRule="auto"/>
        <w:jc w:val="both"/>
        <w:rPr>
          <w:rFonts w:ascii="Times New Roman" w:hAnsi="Times New Roman" w:cs="Times New Roman"/>
        </w:rPr>
      </w:pPr>
    </w:p>
    <w:p w14:paraId="59C95C44" w14:textId="1CE59291" w:rsidR="00425C8F" w:rsidRPr="00425C8F" w:rsidRDefault="00425C8F" w:rsidP="00425C8F">
      <w:pPr>
        <w:spacing w:line="480" w:lineRule="auto"/>
        <w:jc w:val="center"/>
        <w:rPr>
          <w:rFonts w:ascii="Times New Roman" w:hAnsi="Times New Roman" w:cs="Times New Roman"/>
        </w:rPr>
      </w:pPr>
      <w:r w:rsidRPr="00425C8F">
        <w:rPr>
          <w:rFonts w:ascii="Times New Roman" w:hAnsi="Times New Roman" w:cs="Times New Roman"/>
          <w:b/>
          <w:bCs/>
        </w:rPr>
        <w:lastRenderedPageBreak/>
        <w:t>Reduction of Return to Hospital Readmissions</w:t>
      </w:r>
    </w:p>
    <w:p w14:paraId="1FD7048E" w14:textId="77777777" w:rsidR="00425C8F" w:rsidRPr="00425C8F" w:rsidRDefault="00425C8F" w:rsidP="00425C8F">
      <w:pPr>
        <w:spacing w:line="480" w:lineRule="auto"/>
        <w:jc w:val="both"/>
        <w:rPr>
          <w:rFonts w:ascii="Times New Roman" w:hAnsi="Times New Roman" w:cs="Times New Roman"/>
        </w:rPr>
      </w:pPr>
      <w:r w:rsidRPr="00425C8F">
        <w:rPr>
          <w:rFonts w:ascii="Times New Roman" w:hAnsi="Times New Roman" w:cs="Times New Roman"/>
        </w:rPr>
        <w:t>Hospital readmissions are a major issue affecting the healthcare system, affecting patient care and causing financial strains on organizations. This project aimed at alleviating the number of return-to-hospital (RTH) by enhancing discharge planning, staffing plans, and tools to assess patient readiness. It has been demonstrated that organized discharge planning and readiness assessments can greatly decrease 30-day readmissions (Weiss et al., 2019). Also, clinical and nutritional variables are significant predictors of patient readmission (Cruz et al., 2022). The audience of the presentation was nurses, administrators, and other healthcare workers, and the main focus was on evidence-based interventions that would improve patient care and decrease unnecessary readmissions.</w:t>
      </w:r>
    </w:p>
    <w:p w14:paraId="7ACA6D1D" w14:textId="77777777" w:rsidR="00425C8F" w:rsidRPr="00425C8F" w:rsidRDefault="00425C8F" w:rsidP="00425C8F">
      <w:pPr>
        <w:spacing w:line="480" w:lineRule="auto"/>
        <w:jc w:val="both"/>
        <w:rPr>
          <w:rFonts w:ascii="Times New Roman" w:hAnsi="Times New Roman" w:cs="Times New Roman"/>
        </w:rPr>
      </w:pPr>
      <w:r w:rsidRPr="00425C8F">
        <w:rPr>
          <w:rFonts w:ascii="Times New Roman" w:hAnsi="Times New Roman" w:cs="Times New Roman"/>
        </w:rPr>
        <w:t>To determine the content knowledge and the presentation quality, two assessment instruments were created. The initial instrument was used to assess knowledge acquisition by using structured questions that addressed discharge readiness, risk indicators, and healthcare outcomes. The second tool was based on a Likert scale to assess the clarity of presentation, engagement, and effectiveness. The studies indicate that structured assessment tools enhance learning outcomes and effectiveness of presentation (Bobay et al., 2021). The outcomes of feedback revealed that more than 90 percent of participants were able to determine major risk factors to readmission, indicating that the learning objectives were met.</w:t>
      </w:r>
    </w:p>
    <w:p w14:paraId="075E7BAB" w14:textId="77777777" w:rsidR="00425C8F" w:rsidRPr="00425C8F" w:rsidRDefault="00425C8F" w:rsidP="00425C8F">
      <w:pPr>
        <w:spacing w:line="480" w:lineRule="auto"/>
        <w:jc w:val="both"/>
        <w:rPr>
          <w:rFonts w:ascii="Times New Roman" w:hAnsi="Times New Roman" w:cs="Times New Roman"/>
        </w:rPr>
      </w:pPr>
      <w:r w:rsidRPr="00425C8F">
        <w:rPr>
          <w:rFonts w:ascii="Times New Roman" w:hAnsi="Times New Roman" w:cs="Times New Roman"/>
        </w:rPr>
        <w:t>The evaluation methods were used appropriately as they gave quantitative and qualitative data. Knowledge improvement could be measured with the help of quantitative data and the strengths and areas to improve could be detected through qualitative feedback. Research points out that hospital revisits can be lowered through interdisciplinary interventions such as staffing and discharge planning (</w:t>
      </w:r>
      <w:proofErr w:type="spellStart"/>
      <w:r w:rsidRPr="00425C8F">
        <w:rPr>
          <w:rFonts w:ascii="Times New Roman" w:hAnsi="Times New Roman" w:cs="Times New Roman"/>
        </w:rPr>
        <w:t>Palungwachira</w:t>
      </w:r>
      <w:proofErr w:type="spellEnd"/>
      <w:r w:rsidRPr="00425C8F">
        <w:rPr>
          <w:rFonts w:ascii="Times New Roman" w:hAnsi="Times New Roman" w:cs="Times New Roman"/>
        </w:rPr>
        <w:t xml:space="preserve"> et al., 2022).</w:t>
      </w:r>
    </w:p>
    <w:p w14:paraId="12E6914C" w14:textId="18E04B04" w:rsidR="00425C8F" w:rsidRDefault="00425C8F" w:rsidP="00425C8F">
      <w:pPr>
        <w:spacing w:line="480" w:lineRule="auto"/>
        <w:jc w:val="both"/>
        <w:rPr>
          <w:rFonts w:ascii="Times New Roman" w:hAnsi="Times New Roman" w:cs="Times New Roman"/>
        </w:rPr>
      </w:pPr>
      <w:r w:rsidRPr="00425C8F">
        <w:rPr>
          <w:rFonts w:ascii="Times New Roman" w:hAnsi="Times New Roman" w:cs="Times New Roman"/>
        </w:rPr>
        <w:lastRenderedPageBreak/>
        <w:t>Provisions on how to enhance it in the future are focusing on presenting it to other facilities and adding more real-time data analytics to track patient outcomes. Moreover, the cooperation with the admissions and care coordination teams can also enhance intervention strategies. Overall, the project highlights the importance of evidence-based practices and continuous evaluation in improving healthcare quality and patient safety (Gadsby et al., 2022).</w:t>
      </w:r>
    </w:p>
    <w:p w14:paraId="43B886B2" w14:textId="77777777" w:rsidR="00425C8F" w:rsidRDefault="00425C8F" w:rsidP="00425C8F">
      <w:pPr>
        <w:spacing w:line="480" w:lineRule="auto"/>
        <w:jc w:val="both"/>
        <w:rPr>
          <w:rFonts w:ascii="Times New Roman" w:hAnsi="Times New Roman" w:cs="Times New Roman"/>
        </w:rPr>
      </w:pPr>
    </w:p>
    <w:p w14:paraId="39BE6D0D" w14:textId="77777777" w:rsidR="00425C8F" w:rsidRDefault="00425C8F" w:rsidP="00425C8F">
      <w:pPr>
        <w:spacing w:line="480" w:lineRule="auto"/>
        <w:jc w:val="both"/>
        <w:rPr>
          <w:rFonts w:ascii="Times New Roman" w:hAnsi="Times New Roman" w:cs="Times New Roman"/>
        </w:rPr>
      </w:pPr>
    </w:p>
    <w:p w14:paraId="5EE17859" w14:textId="77777777" w:rsidR="00425C8F" w:rsidRDefault="00425C8F" w:rsidP="00425C8F">
      <w:pPr>
        <w:spacing w:line="480" w:lineRule="auto"/>
        <w:jc w:val="both"/>
        <w:rPr>
          <w:rFonts w:ascii="Times New Roman" w:hAnsi="Times New Roman" w:cs="Times New Roman"/>
        </w:rPr>
      </w:pPr>
    </w:p>
    <w:p w14:paraId="5760E319" w14:textId="77777777" w:rsidR="00425C8F" w:rsidRDefault="00425C8F" w:rsidP="00425C8F">
      <w:pPr>
        <w:spacing w:line="480" w:lineRule="auto"/>
        <w:jc w:val="both"/>
        <w:rPr>
          <w:rFonts w:ascii="Times New Roman" w:hAnsi="Times New Roman" w:cs="Times New Roman"/>
        </w:rPr>
      </w:pPr>
    </w:p>
    <w:p w14:paraId="68424D74" w14:textId="77777777" w:rsidR="00425C8F" w:rsidRDefault="00425C8F" w:rsidP="00425C8F">
      <w:pPr>
        <w:spacing w:line="480" w:lineRule="auto"/>
        <w:jc w:val="both"/>
        <w:rPr>
          <w:rFonts w:ascii="Times New Roman" w:hAnsi="Times New Roman" w:cs="Times New Roman"/>
        </w:rPr>
      </w:pPr>
    </w:p>
    <w:p w14:paraId="3735AC0F" w14:textId="77777777" w:rsidR="00425C8F" w:rsidRDefault="00425C8F" w:rsidP="00425C8F">
      <w:pPr>
        <w:spacing w:line="480" w:lineRule="auto"/>
        <w:jc w:val="both"/>
        <w:rPr>
          <w:rFonts w:ascii="Times New Roman" w:hAnsi="Times New Roman" w:cs="Times New Roman"/>
        </w:rPr>
      </w:pPr>
    </w:p>
    <w:p w14:paraId="790B5954" w14:textId="77777777" w:rsidR="00425C8F" w:rsidRDefault="00425C8F" w:rsidP="00425C8F">
      <w:pPr>
        <w:spacing w:line="480" w:lineRule="auto"/>
        <w:jc w:val="both"/>
        <w:rPr>
          <w:rFonts w:ascii="Times New Roman" w:hAnsi="Times New Roman" w:cs="Times New Roman"/>
        </w:rPr>
      </w:pPr>
    </w:p>
    <w:p w14:paraId="11DFBD63" w14:textId="77777777" w:rsidR="00425C8F" w:rsidRDefault="00425C8F" w:rsidP="00425C8F">
      <w:pPr>
        <w:spacing w:line="480" w:lineRule="auto"/>
        <w:jc w:val="both"/>
        <w:rPr>
          <w:rFonts w:ascii="Times New Roman" w:hAnsi="Times New Roman" w:cs="Times New Roman"/>
        </w:rPr>
      </w:pPr>
    </w:p>
    <w:p w14:paraId="44BD09D1" w14:textId="77777777" w:rsidR="00425C8F" w:rsidRDefault="00425C8F" w:rsidP="00425C8F">
      <w:pPr>
        <w:spacing w:line="480" w:lineRule="auto"/>
        <w:jc w:val="both"/>
        <w:rPr>
          <w:rFonts w:ascii="Times New Roman" w:hAnsi="Times New Roman" w:cs="Times New Roman"/>
        </w:rPr>
      </w:pPr>
    </w:p>
    <w:p w14:paraId="4904B13A" w14:textId="77777777" w:rsidR="00425C8F" w:rsidRDefault="00425C8F" w:rsidP="00425C8F">
      <w:pPr>
        <w:spacing w:line="480" w:lineRule="auto"/>
        <w:jc w:val="both"/>
        <w:rPr>
          <w:rFonts w:ascii="Times New Roman" w:hAnsi="Times New Roman" w:cs="Times New Roman"/>
        </w:rPr>
      </w:pPr>
    </w:p>
    <w:p w14:paraId="7ECC77F6" w14:textId="77777777" w:rsidR="00425C8F" w:rsidRDefault="00425C8F" w:rsidP="00425C8F">
      <w:pPr>
        <w:spacing w:line="480" w:lineRule="auto"/>
        <w:jc w:val="both"/>
        <w:rPr>
          <w:rFonts w:ascii="Times New Roman" w:hAnsi="Times New Roman" w:cs="Times New Roman"/>
        </w:rPr>
      </w:pPr>
    </w:p>
    <w:p w14:paraId="2BB7EA23" w14:textId="77777777" w:rsidR="00425C8F" w:rsidRDefault="00425C8F" w:rsidP="00425C8F">
      <w:pPr>
        <w:spacing w:line="480" w:lineRule="auto"/>
        <w:jc w:val="both"/>
        <w:rPr>
          <w:rFonts w:ascii="Times New Roman" w:hAnsi="Times New Roman" w:cs="Times New Roman"/>
        </w:rPr>
      </w:pPr>
    </w:p>
    <w:p w14:paraId="51F4A52E" w14:textId="77777777" w:rsidR="00425C8F" w:rsidRDefault="00425C8F" w:rsidP="00425C8F">
      <w:pPr>
        <w:spacing w:line="480" w:lineRule="auto"/>
        <w:jc w:val="both"/>
        <w:rPr>
          <w:rFonts w:ascii="Times New Roman" w:hAnsi="Times New Roman" w:cs="Times New Roman"/>
        </w:rPr>
      </w:pPr>
    </w:p>
    <w:p w14:paraId="710F69E7" w14:textId="77777777" w:rsidR="00425C8F" w:rsidRPr="00425C8F" w:rsidRDefault="00425C8F" w:rsidP="00425C8F">
      <w:pPr>
        <w:spacing w:line="480" w:lineRule="auto"/>
        <w:jc w:val="both"/>
        <w:rPr>
          <w:rFonts w:ascii="Times New Roman" w:hAnsi="Times New Roman" w:cs="Times New Roman"/>
        </w:rPr>
      </w:pPr>
    </w:p>
    <w:p w14:paraId="5CEE76C1" w14:textId="35535027" w:rsidR="00425C8F" w:rsidRPr="00425C8F" w:rsidRDefault="00425C8F" w:rsidP="00425C8F">
      <w:pPr>
        <w:spacing w:line="480" w:lineRule="auto"/>
        <w:jc w:val="center"/>
        <w:rPr>
          <w:rFonts w:ascii="Times New Roman" w:hAnsi="Times New Roman" w:cs="Times New Roman"/>
          <w:b/>
          <w:bCs/>
        </w:rPr>
      </w:pPr>
      <w:r w:rsidRPr="00425C8F">
        <w:rPr>
          <w:rFonts w:ascii="Times New Roman" w:hAnsi="Times New Roman" w:cs="Times New Roman"/>
          <w:b/>
          <w:bCs/>
        </w:rPr>
        <w:lastRenderedPageBreak/>
        <w:t>References</w:t>
      </w:r>
    </w:p>
    <w:p w14:paraId="434EA573" w14:textId="77777777" w:rsidR="00425C8F" w:rsidRPr="00425C8F" w:rsidRDefault="00425C8F" w:rsidP="00425C8F">
      <w:pPr>
        <w:spacing w:line="480" w:lineRule="auto"/>
        <w:ind w:left="720" w:hanging="720"/>
        <w:jc w:val="both"/>
        <w:rPr>
          <w:rFonts w:ascii="Times New Roman" w:hAnsi="Times New Roman" w:cs="Times New Roman"/>
        </w:rPr>
      </w:pPr>
      <w:r w:rsidRPr="00425C8F">
        <w:rPr>
          <w:rFonts w:ascii="Times New Roman" w:hAnsi="Times New Roman" w:cs="Times New Roman"/>
        </w:rPr>
        <w:t xml:space="preserve">Bobay, K. L., Conway-Phillips, R., Hughes, R. G., Costa, L., Bahr, S. J., </w:t>
      </w:r>
      <w:proofErr w:type="spellStart"/>
      <w:r w:rsidRPr="00425C8F">
        <w:rPr>
          <w:rFonts w:ascii="Times New Roman" w:hAnsi="Times New Roman" w:cs="Times New Roman"/>
        </w:rPr>
        <w:t>Siclovan</w:t>
      </w:r>
      <w:proofErr w:type="spellEnd"/>
      <w:r w:rsidRPr="00425C8F">
        <w:rPr>
          <w:rFonts w:ascii="Times New Roman" w:hAnsi="Times New Roman" w:cs="Times New Roman"/>
        </w:rPr>
        <w:t xml:space="preserve">, D., Nuccio, S., &amp; Weiss, M. (2021). Clinical nurses' perspectives on discharge practice changes. </w:t>
      </w:r>
      <w:r w:rsidRPr="00425C8F">
        <w:rPr>
          <w:rFonts w:ascii="Times New Roman" w:hAnsi="Times New Roman" w:cs="Times New Roman"/>
          <w:i/>
          <w:iCs/>
        </w:rPr>
        <w:t>Journal of Nursing Management, 29</w:t>
      </w:r>
      <w:r w:rsidRPr="00425C8F">
        <w:rPr>
          <w:rFonts w:ascii="Times New Roman" w:hAnsi="Times New Roman" w:cs="Times New Roman"/>
        </w:rPr>
        <w:t xml:space="preserve">(3), 553–561. </w:t>
      </w:r>
      <w:hyperlink r:id="rId4" w:tgtFrame="_new" w:history="1">
        <w:r w:rsidRPr="00425C8F">
          <w:rPr>
            <w:rStyle w:val="Hyperlink"/>
            <w:rFonts w:ascii="Times New Roman" w:hAnsi="Times New Roman" w:cs="Times New Roman"/>
          </w:rPr>
          <w:t>https://doi.org/10.1111/jonm.13171</w:t>
        </w:r>
      </w:hyperlink>
    </w:p>
    <w:p w14:paraId="3B2E16BA" w14:textId="77777777" w:rsidR="00425C8F" w:rsidRPr="00425C8F" w:rsidRDefault="00425C8F" w:rsidP="00425C8F">
      <w:pPr>
        <w:spacing w:line="480" w:lineRule="auto"/>
        <w:ind w:left="720" w:hanging="720"/>
        <w:jc w:val="both"/>
        <w:rPr>
          <w:rFonts w:ascii="Times New Roman" w:hAnsi="Times New Roman" w:cs="Times New Roman"/>
        </w:rPr>
      </w:pPr>
      <w:r w:rsidRPr="00425C8F">
        <w:rPr>
          <w:rFonts w:ascii="Times New Roman" w:hAnsi="Times New Roman" w:cs="Times New Roman"/>
        </w:rPr>
        <w:t xml:space="preserve">Cruz, L. M. P., Soares, B. L. M., Silva, J. E., &amp; Lima, R. (2022). Predictors of hospital readmission. </w:t>
      </w:r>
      <w:r w:rsidRPr="00425C8F">
        <w:rPr>
          <w:rFonts w:ascii="Times New Roman" w:hAnsi="Times New Roman" w:cs="Times New Roman"/>
          <w:i/>
          <w:iCs/>
        </w:rPr>
        <w:t>European Journal of Clinical Nutrition, 76</w:t>
      </w:r>
      <w:r w:rsidRPr="00425C8F">
        <w:rPr>
          <w:rFonts w:ascii="Times New Roman" w:hAnsi="Times New Roman" w:cs="Times New Roman"/>
        </w:rPr>
        <w:t xml:space="preserve">(2), 244–250. </w:t>
      </w:r>
      <w:hyperlink r:id="rId5" w:tgtFrame="_new" w:history="1">
        <w:r w:rsidRPr="00425C8F">
          <w:rPr>
            <w:rStyle w:val="Hyperlink"/>
            <w:rFonts w:ascii="Times New Roman" w:hAnsi="Times New Roman" w:cs="Times New Roman"/>
          </w:rPr>
          <w:t>https://doi.org/10.1038/s41430-021-00937-y</w:t>
        </w:r>
      </w:hyperlink>
    </w:p>
    <w:p w14:paraId="722AB143" w14:textId="77777777" w:rsidR="00425C8F" w:rsidRPr="00425C8F" w:rsidRDefault="00425C8F" w:rsidP="00425C8F">
      <w:pPr>
        <w:spacing w:line="480" w:lineRule="auto"/>
        <w:ind w:left="720" w:hanging="720"/>
        <w:jc w:val="both"/>
        <w:rPr>
          <w:rFonts w:ascii="Times New Roman" w:hAnsi="Times New Roman" w:cs="Times New Roman"/>
        </w:rPr>
      </w:pPr>
      <w:r w:rsidRPr="00425C8F">
        <w:rPr>
          <w:rFonts w:ascii="Times New Roman" w:hAnsi="Times New Roman" w:cs="Times New Roman"/>
        </w:rPr>
        <w:t xml:space="preserve">Gadsby, E. W., </w:t>
      </w:r>
      <w:proofErr w:type="spellStart"/>
      <w:r w:rsidRPr="00425C8F">
        <w:rPr>
          <w:rFonts w:ascii="Times New Roman" w:hAnsi="Times New Roman" w:cs="Times New Roman"/>
        </w:rPr>
        <w:t>Wistow</w:t>
      </w:r>
      <w:proofErr w:type="spellEnd"/>
      <w:r w:rsidRPr="00425C8F">
        <w:rPr>
          <w:rFonts w:ascii="Times New Roman" w:hAnsi="Times New Roman" w:cs="Times New Roman"/>
        </w:rPr>
        <w:t xml:space="preserve">, G., &amp; Billings, J. (2022). Discharge to assess service evaluation. </w:t>
      </w:r>
      <w:r w:rsidRPr="00425C8F">
        <w:rPr>
          <w:rFonts w:ascii="Times New Roman" w:hAnsi="Times New Roman" w:cs="Times New Roman"/>
          <w:i/>
          <w:iCs/>
        </w:rPr>
        <w:t>Critical Social Policy, 42</w:t>
      </w:r>
      <w:r w:rsidRPr="00425C8F">
        <w:rPr>
          <w:rFonts w:ascii="Times New Roman" w:hAnsi="Times New Roman" w:cs="Times New Roman"/>
        </w:rPr>
        <w:t>(4), 671–694.</w:t>
      </w:r>
    </w:p>
    <w:p w14:paraId="6ADF536B" w14:textId="77777777" w:rsidR="00425C8F" w:rsidRPr="00425C8F" w:rsidRDefault="00425C8F" w:rsidP="00425C8F">
      <w:pPr>
        <w:spacing w:line="480" w:lineRule="auto"/>
        <w:ind w:left="720" w:hanging="720"/>
        <w:jc w:val="both"/>
        <w:rPr>
          <w:rFonts w:ascii="Times New Roman" w:hAnsi="Times New Roman" w:cs="Times New Roman"/>
        </w:rPr>
      </w:pPr>
      <w:r w:rsidRPr="00425C8F">
        <w:rPr>
          <w:rFonts w:ascii="Times New Roman" w:hAnsi="Times New Roman" w:cs="Times New Roman"/>
        </w:rPr>
        <w:t xml:space="preserve">Hammouda, N., Vargas-Torres, C., Doucette, J., &amp; Hwang, U. (2021). Emergency department revisits. </w:t>
      </w:r>
      <w:r w:rsidRPr="00425C8F">
        <w:rPr>
          <w:rFonts w:ascii="Times New Roman" w:hAnsi="Times New Roman" w:cs="Times New Roman"/>
          <w:i/>
          <w:iCs/>
        </w:rPr>
        <w:t>American Journal of Emergency Medicine, 44</w:t>
      </w:r>
      <w:r w:rsidRPr="00425C8F">
        <w:rPr>
          <w:rFonts w:ascii="Times New Roman" w:hAnsi="Times New Roman" w:cs="Times New Roman"/>
        </w:rPr>
        <w:t>, 148–156.</w:t>
      </w:r>
    </w:p>
    <w:p w14:paraId="14902849" w14:textId="77777777" w:rsidR="00425C8F" w:rsidRPr="00425C8F" w:rsidRDefault="00425C8F" w:rsidP="00425C8F">
      <w:pPr>
        <w:spacing w:line="480" w:lineRule="auto"/>
        <w:ind w:left="720" w:hanging="720"/>
        <w:jc w:val="both"/>
        <w:rPr>
          <w:rFonts w:ascii="Times New Roman" w:hAnsi="Times New Roman" w:cs="Times New Roman"/>
        </w:rPr>
      </w:pPr>
      <w:proofErr w:type="spellStart"/>
      <w:r w:rsidRPr="00425C8F">
        <w:rPr>
          <w:rFonts w:ascii="Times New Roman" w:hAnsi="Times New Roman" w:cs="Times New Roman"/>
        </w:rPr>
        <w:t>Palungwachira</w:t>
      </w:r>
      <w:proofErr w:type="spellEnd"/>
      <w:r w:rsidRPr="00425C8F">
        <w:rPr>
          <w:rFonts w:ascii="Times New Roman" w:hAnsi="Times New Roman" w:cs="Times New Roman"/>
        </w:rPr>
        <w:t xml:space="preserve">, P., </w:t>
      </w:r>
      <w:proofErr w:type="spellStart"/>
      <w:r w:rsidRPr="00425C8F">
        <w:rPr>
          <w:rFonts w:ascii="Times New Roman" w:hAnsi="Times New Roman" w:cs="Times New Roman"/>
        </w:rPr>
        <w:t>Montimanutt</w:t>
      </w:r>
      <w:proofErr w:type="spellEnd"/>
      <w:r w:rsidRPr="00425C8F">
        <w:rPr>
          <w:rFonts w:ascii="Times New Roman" w:hAnsi="Times New Roman" w:cs="Times New Roman"/>
        </w:rPr>
        <w:t xml:space="preserve">, G., </w:t>
      </w:r>
      <w:proofErr w:type="spellStart"/>
      <w:r w:rsidRPr="00425C8F">
        <w:rPr>
          <w:rFonts w:ascii="Times New Roman" w:hAnsi="Times New Roman" w:cs="Times New Roman"/>
        </w:rPr>
        <w:t>Musikatavorn</w:t>
      </w:r>
      <w:proofErr w:type="spellEnd"/>
      <w:r w:rsidRPr="00425C8F">
        <w:rPr>
          <w:rFonts w:ascii="Times New Roman" w:hAnsi="Times New Roman" w:cs="Times New Roman"/>
        </w:rPr>
        <w:t xml:space="preserve">, K., et al. (2022). Emergency department revisit reduction. </w:t>
      </w:r>
      <w:r w:rsidRPr="00425C8F">
        <w:rPr>
          <w:rFonts w:ascii="Times New Roman" w:hAnsi="Times New Roman" w:cs="Times New Roman"/>
          <w:i/>
          <w:iCs/>
        </w:rPr>
        <w:t>International Journal of Emergency Medicine, 15</w:t>
      </w:r>
      <w:r w:rsidRPr="00425C8F">
        <w:rPr>
          <w:rFonts w:ascii="Times New Roman" w:hAnsi="Times New Roman" w:cs="Times New Roman"/>
        </w:rPr>
        <w:t>, 66.</w:t>
      </w:r>
    </w:p>
    <w:p w14:paraId="79662819" w14:textId="77777777" w:rsidR="00425C8F" w:rsidRPr="00425C8F" w:rsidRDefault="00425C8F" w:rsidP="00425C8F">
      <w:pPr>
        <w:spacing w:line="480" w:lineRule="auto"/>
        <w:ind w:left="720" w:hanging="720"/>
        <w:jc w:val="both"/>
        <w:rPr>
          <w:rFonts w:ascii="Times New Roman" w:hAnsi="Times New Roman" w:cs="Times New Roman"/>
        </w:rPr>
      </w:pPr>
      <w:r w:rsidRPr="00425C8F">
        <w:rPr>
          <w:rFonts w:ascii="Times New Roman" w:hAnsi="Times New Roman" w:cs="Times New Roman"/>
        </w:rPr>
        <w:t xml:space="preserve">Weiss, M. E., Yakusheva, O., Bobay, K. L., et al. (2019). Discharge readiness assessment. </w:t>
      </w:r>
      <w:r w:rsidRPr="00425C8F">
        <w:rPr>
          <w:rFonts w:ascii="Times New Roman" w:hAnsi="Times New Roman" w:cs="Times New Roman"/>
          <w:i/>
          <w:iCs/>
        </w:rPr>
        <w:t>JAMA Network Open, 2</w:t>
      </w:r>
      <w:r w:rsidRPr="00425C8F">
        <w:rPr>
          <w:rFonts w:ascii="Times New Roman" w:hAnsi="Times New Roman" w:cs="Times New Roman"/>
        </w:rPr>
        <w:t>(1), e187387.</w:t>
      </w:r>
    </w:p>
    <w:p w14:paraId="2F8FC9F2" w14:textId="77777777" w:rsidR="00425C8F" w:rsidRPr="00425C8F" w:rsidRDefault="00425C8F" w:rsidP="00425C8F">
      <w:pPr>
        <w:spacing w:line="480" w:lineRule="auto"/>
        <w:jc w:val="both"/>
        <w:rPr>
          <w:rFonts w:ascii="Times New Roman" w:hAnsi="Times New Roman" w:cs="Times New Roman"/>
        </w:rPr>
      </w:pPr>
    </w:p>
    <w:sectPr w:rsidR="00425C8F" w:rsidRPr="00425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8F"/>
    <w:rsid w:val="00425C8F"/>
    <w:rsid w:val="0063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041E"/>
  <w15:chartTrackingRefBased/>
  <w15:docId w15:val="{D45CF69E-7C85-4FCE-AD6D-A316010D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C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C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C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C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C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C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C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C8F"/>
    <w:rPr>
      <w:rFonts w:eastAsiaTheme="majorEastAsia" w:cstheme="majorBidi"/>
      <w:color w:val="272727" w:themeColor="text1" w:themeTint="D8"/>
    </w:rPr>
  </w:style>
  <w:style w:type="paragraph" w:styleId="Title">
    <w:name w:val="Title"/>
    <w:basedOn w:val="Normal"/>
    <w:next w:val="Normal"/>
    <w:link w:val="TitleChar"/>
    <w:uiPriority w:val="10"/>
    <w:qFormat/>
    <w:rsid w:val="0042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C8F"/>
    <w:pPr>
      <w:spacing w:before="160"/>
      <w:jc w:val="center"/>
    </w:pPr>
    <w:rPr>
      <w:i/>
      <w:iCs/>
      <w:color w:val="404040" w:themeColor="text1" w:themeTint="BF"/>
    </w:rPr>
  </w:style>
  <w:style w:type="character" w:customStyle="1" w:styleId="QuoteChar">
    <w:name w:val="Quote Char"/>
    <w:basedOn w:val="DefaultParagraphFont"/>
    <w:link w:val="Quote"/>
    <w:uiPriority w:val="29"/>
    <w:rsid w:val="00425C8F"/>
    <w:rPr>
      <w:i/>
      <w:iCs/>
      <w:color w:val="404040" w:themeColor="text1" w:themeTint="BF"/>
    </w:rPr>
  </w:style>
  <w:style w:type="paragraph" w:styleId="ListParagraph">
    <w:name w:val="List Paragraph"/>
    <w:basedOn w:val="Normal"/>
    <w:uiPriority w:val="34"/>
    <w:qFormat/>
    <w:rsid w:val="00425C8F"/>
    <w:pPr>
      <w:ind w:left="720"/>
      <w:contextualSpacing/>
    </w:pPr>
  </w:style>
  <w:style w:type="character" w:styleId="IntenseEmphasis">
    <w:name w:val="Intense Emphasis"/>
    <w:basedOn w:val="DefaultParagraphFont"/>
    <w:uiPriority w:val="21"/>
    <w:qFormat/>
    <w:rsid w:val="00425C8F"/>
    <w:rPr>
      <w:i/>
      <w:iCs/>
      <w:color w:val="2F5496" w:themeColor="accent1" w:themeShade="BF"/>
    </w:rPr>
  </w:style>
  <w:style w:type="paragraph" w:styleId="IntenseQuote">
    <w:name w:val="Intense Quote"/>
    <w:basedOn w:val="Normal"/>
    <w:next w:val="Normal"/>
    <w:link w:val="IntenseQuoteChar"/>
    <w:uiPriority w:val="30"/>
    <w:qFormat/>
    <w:rsid w:val="0042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C8F"/>
    <w:rPr>
      <w:i/>
      <w:iCs/>
      <w:color w:val="2F5496" w:themeColor="accent1" w:themeShade="BF"/>
    </w:rPr>
  </w:style>
  <w:style w:type="character" w:styleId="IntenseReference">
    <w:name w:val="Intense Reference"/>
    <w:basedOn w:val="DefaultParagraphFont"/>
    <w:uiPriority w:val="32"/>
    <w:qFormat/>
    <w:rsid w:val="00425C8F"/>
    <w:rPr>
      <w:b/>
      <w:bCs/>
      <w:smallCaps/>
      <w:color w:val="2F5496" w:themeColor="accent1" w:themeShade="BF"/>
      <w:spacing w:val="5"/>
    </w:rPr>
  </w:style>
  <w:style w:type="character" w:styleId="Hyperlink">
    <w:name w:val="Hyperlink"/>
    <w:basedOn w:val="DefaultParagraphFont"/>
    <w:uiPriority w:val="99"/>
    <w:unhideWhenUsed/>
    <w:rsid w:val="00425C8F"/>
    <w:rPr>
      <w:color w:val="0563C1" w:themeColor="hyperlink"/>
      <w:u w:val="single"/>
    </w:rPr>
  </w:style>
  <w:style w:type="character" w:styleId="UnresolvedMention">
    <w:name w:val="Unresolved Mention"/>
    <w:basedOn w:val="DefaultParagraphFont"/>
    <w:uiPriority w:val="99"/>
    <w:semiHidden/>
    <w:unhideWhenUsed/>
    <w:rsid w:val="0042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38/s41430-021-00937-y" TargetMode="External"/><Relationship Id="rId4" Type="http://schemas.openxmlformats.org/officeDocument/2006/relationships/hyperlink" Target="https://doi.org/10.1111/jonm.1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dcterms:created xsi:type="dcterms:W3CDTF">2026-04-08T18:23:00Z</dcterms:created>
  <dcterms:modified xsi:type="dcterms:W3CDTF">2026-04-08T18:27:00Z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88d8bd85-edb9-4059-bbf3-f723d2b36dd2</vt:lpwstr>
  </property>
</Properties>
</file>