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3689" w14:textId="1B1E069A" w:rsidR="00F15025" w:rsidRDefault="00D4185C" w:rsidP="00130CDC">
      <w:pPr>
        <w:pStyle w:val="Heading1"/>
      </w:pPr>
      <w:r w:rsidRPr="00311269">
        <w:t>INT 220</w:t>
      </w:r>
      <w:r w:rsidR="004413A7" w:rsidRPr="00311269">
        <w:t xml:space="preserve"> Module Three Assignment </w:t>
      </w:r>
      <w:r w:rsidR="004413A7" w:rsidRPr="00130CDC">
        <w:t>Template</w:t>
      </w:r>
      <w:r w:rsidR="0089632B">
        <w:br/>
      </w:r>
      <w:r w:rsidR="0089632B" w:rsidRPr="0089632B">
        <w:t>Economic and Political Environments Comparison</w:t>
      </w:r>
    </w:p>
    <w:p w14:paraId="1AB144CB" w14:textId="77777777" w:rsidR="00F15025" w:rsidRPr="00267DB5" w:rsidRDefault="00F15025" w:rsidP="00130CDC">
      <w:pPr>
        <w:suppressAutoHyphens/>
        <w:spacing w:after="0" w:line="240" w:lineRule="auto"/>
        <w:contextualSpacing/>
        <w:rPr>
          <w:rFonts w:ascii="Calibri" w:hAnsi="Calibri" w:cs="Calibri"/>
        </w:rPr>
      </w:pPr>
    </w:p>
    <w:p w14:paraId="06AF9225" w14:textId="3374126C" w:rsidR="00D66312" w:rsidRPr="00267DB5" w:rsidRDefault="00742442" w:rsidP="00130CDC">
      <w:pPr>
        <w:suppressAutoHyphens/>
        <w:spacing w:after="0" w:line="240" w:lineRule="auto"/>
        <w:contextualSpacing/>
        <w:rPr>
          <w:rFonts w:ascii="Calibri" w:hAnsi="Calibri" w:cs="Calibri"/>
        </w:rPr>
      </w:pPr>
      <w:r w:rsidRPr="00267DB5">
        <w:rPr>
          <w:rFonts w:ascii="Calibri" w:hAnsi="Calibri" w:cs="Calibri"/>
        </w:rPr>
        <w:t>[</w:t>
      </w:r>
      <w:r w:rsidR="00D66312" w:rsidRPr="00267DB5">
        <w:rPr>
          <w:rFonts w:ascii="Calibri" w:hAnsi="Calibri" w:cs="Calibri"/>
        </w:rPr>
        <w:t>Complete this template by replacing the bracketed text with the relevant information.</w:t>
      </w:r>
      <w:r w:rsidRPr="00267DB5">
        <w:rPr>
          <w:rFonts w:ascii="Calibri" w:hAnsi="Calibri" w:cs="Calibri"/>
        </w:rPr>
        <w:t xml:space="preserve"> </w:t>
      </w:r>
      <w:r w:rsidR="008D1D19">
        <w:t xml:space="preserve">Cite your sources in APA style. </w:t>
      </w:r>
      <w:r w:rsidRPr="00267DB5">
        <w:rPr>
          <w:rFonts w:ascii="Calibri" w:hAnsi="Calibri" w:cs="Calibri"/>
        </w:rPr>
        <w:t>Remove this note before submitting your assignment.]</w:t>
      </w:r>
    </w:p>
    <w:p w14:paraId="0A37501D" w14:textId="77777777" w:rsidR="00D66312" w:rsidRPr="00267DB5" w:rsidRDefault="00D66312" w:rsidP="00130CDC">
      <w:pPr>
        <w:suppressAutoHyphens/>
        <w:spacing w:after="0" w:line="240" w:lineRule="auto"/>
        <w:contextualSpacing/>
        <w:rPr>
          <w:rFonts w:ascii="Calibri" w:hAnsi="Calibri" w:cs="Calibri"/>
        </w:rPr>
      </w:pPr>
    </w:p>
    <w:p w14:paraId="113EBF12" w14:textId="32A73359" w:rsidR="00BA5C74" w:rsidRPr="00267DB5" w:rsidRDefault="00BA5C74" w:rsidP="00130CDC">
      <w:pPr>
        <w:pStyle w:val="Heading2"/>
      </w:pPr>
      <w:r w:rsidRPr="00267DB5">
        <w:t>Section One</w:t>
      </w:r>
      <w:r w:rsidR="21E53902" w:rsidRPr="00267DB5">
        <w:t>: Application of Data</w:t>
      </w:r>
    </w:p>
    <w:p w14:paraId="5CA31B64" w14:textId="73210AFF" w:rsidR="00851BE8" w:rsidRDefault="00851BE8" w:rsidP="00130CDC">
      <w:pPr>
        <w:pStyle w:val="Heading2"/>
        <w:rPr>
          <w:rFonts w:eastAsiaTheme="minorHAnsi"/>
          <w:b w:val="0"/>
        </w:rPr>
      </w:pPr>
      <w:r w:rsidRPr="00851BE8">
        <w:rPr>
          <w:rFonts w:eastAsiaTheme="minorHAnsi"/>
          <w:b w:val="0"/>
        </w:rPr>
        <w:t xml:space="preserve">When evaluating international markets regarding opportunities for and potential risks associated with </w:t>
      </w:r>
      <w:r>
        <w:rPr>
          <w:rFonts w:eastAsiaTheme="minorHAnsi"/>
          <w:b w:val="0"/>
        </w:rPr>
        <w:t xml:space="preserve">the </w:t>
      </w:r>
      <w:r w:rsidRPr="00851BE8">
        <w:rPr>
          <w:rFonts w:eastAsiaTheme="minorHAnsi"/>
          <w:b w:val="0"/>
        </w:rPr>
        <w:t>opportunity, relevant economic and political information must be assessed. GDP and PPP (Purchasing Power Parity) data indicate the size of the market (overall size and size of the consumer) for non-essential goods (for example, activity trackers), as well as determine the amount of money available to consumers to purchase these goods. Inflation rates and interest rates reflect the stability of a country's economy (i.e., high inflation limits spending and high-interest rates limit investment). Furthermore, political stability is an important consideration as it can positively or negatively influence regulatory certainty/predictability depending on whether a country is a stable democracy versus some other form of government. Finally, when evaluating consumer electronics as potential purchases, consumers with high PPP per capita and GDP per capita will determine whether a country has the financial resources to support its purchase. Therefore, the ideal conditions for evaluating purchasing will provide either high incomes or low inflation</w:t>
      </w:r>
      <w:r>
        <w:rPr>
          <w:rFonts w:eastAsiaTheme="minorHAnsi"/>
          <w:b w:val="0"/>
        </w:rPr>
        <w:t>,</w:t>
      </w:r>
      <w:r w:rsidRPr="00851BE8">
        <w:rPr>
          <w:rFonts w:eastAsiaTheme="minorHAnsi"/>
          <w:b w:val="0"/>
        </w:rPr>
        <w:t xml:space="preserve"> moderate-interest rates</w:t>
      </w:r>
      <w:r>
        <w:rPr>
          <w:rFonts w:eastAsiaTheme="minorHAnsi"/>
          <w:b w:val="0"/>
        </w:rPr>
        <w:t>,</w:t>
      </w:r>
      <w:r w:rsidRPr="00851BE8">
        <w:rPr>
          <w:rFonts w:eastAsiaTheme="minorHAnsi"/>
          <w:b w:val="0"/>
        </w:rPr>
        <w:t xml:space="preserve"> and efficient trade relations between the various economies. Promoting trade integration and joining economic unions (e.g., trade agreements) will help to reduce tariffs and allow for greater ease of entry and efficiency into foreign markets. In conclusion, each of these measures can provide valuable information on the level of risk and the potential of domestic, international, and foreign markets.</w:t>
      </w:r>
    </w:p>
    <w:p w14:paraId="62D08A55" w14:textId="77777777" w:rsidR="00851BE8" w:rsidRDefault="00851BE8" w:rsidP="00130CDC">
      <w:pPr>
        <w:pStyle w:val="Heading2"/>
        <w:rPr>
          <w:rFonts w:eastAsiaTheme="minorHAnsi"/>
          <w:b w:val="0"/>
        </w:rPr>
      </w:pPr>
    </w:p>
    <w:p w14:paraId="447CB40B" w14:textId="785EAAEF" w:rsidR="00BA5C74" w:rsidRPr="00267DB5" w:rsidRDefault="00BA5C74" w:rsidP="00130CDC">
      <w:pPr>
        <w:pStyle w:val="Heading2"/>
      </w:pPr>
      <w:r w:rsidRPr="00267DB5">
        <w:t>Section Two</w:t>
      </w:r>
      <w:r w:rsidR="70F329E9" w:rsidRPr="00267DB5">
        <w:t>: Political and Economic Data Collection</w:t>
      </w:r>
    </w:p>
    <w:p w14:paraId="37F60AC4" w14:textId="00B9AEB1" w:rsidR="003874A6" w:rsidRPr="00267DB5" w:rsidRDefault="00E86A3F" w:rsidP="00130CDC">
      <w:pPr>
        <w:suppressAutoHyphens/>
        <w:spacing w:after="0" w:line="240" w:lineRule="auto"/>
        <w:contextualSpacing/>
        <w:rPr>
          <w:rFonts w:ascii="Calibri" w:hAnsi="Calibri" w:cs="Calibri"/>
        </w:rPr>
      </w:pPr>
      <w:r w:rsidRPr="00267DB5">
        <w:rPr>
          <w:rFonts w:ascii="Calibri" w:hAnsi="Calibri" w:cs="Calibri"/>
        </w:rPr>
        <w:t>[</w:t>
      </w:r>
      <w:r w:rsidR="003874A6" w:rsidRPr="00267DB5">
        <w:rPr>
          <w:rFonts w:ascii="Calibri" w:hAnsi="Calibri" w:cs="Calibri"/>
        </w:rPr>
        <w:t>Complete the</w:t>
      </w:r>
      <w:r w:rsidRPr="00267DB5">
        <w:rPr>
          <w:rFonts w:ascii="Calibri" w:hAnsi="Calibri" w:cs="Calibri"/>
        </w:rPr>
        <w:t xml:space="preserve"> </w:t>
      </w:r>
      <w:r w:rsidR="003874A6" w:rsidRPr="00267DB5">
        <w:rPr>
          <w:rFonts w:ascii="Calibri" w:hAnsi="Calibri" w:cs="Calibri"/>
        </w:rPr>
        <w:t>t</w:t>
      </w:r>
      <w:r w:rsidR="00D10438" w:rsidRPr="00267DB5">
        <w:rPr>
          <w:rFonts w:ascii="Calibri" w:hAnsi="Calibri" w:cs="Calibri"/>
        </w:rPr>
        <w:t xml:space="preserve">able </w:t>
      </w:r>
      <w:r w:rsidR="5A8BFDD8" w:rsidRPr="00267DB5">
        <w:rPr>
          <w:rFonts w:ascii="Calibri" w:hAnsi="Calibri" w:cs="Calibri"/>
        </w:rPr>
        <w:t xml:space="preserve">below </w:t>
      </w:r>
      <w:r w:rsidR="003874A6" w:rsidRPr="00267DB5">
        <w:rPr>
          <w:rFonts w:ascii="Calibri" w:hAnsi="Calibri" w:cs="Calibri"/>
        </w:rPr>
        <w:t xml:space="preserve">by finding the appropriate information and data points for each identified category using </w:t>
      </w:r>
      <w:r w:rsidR="00350F79">
        <w:rPr>
          <w:rFonts w:ascii="Calibri" w:hAnsi="Calibri" w:cs="Calibri"/>
        </w:rPr>
        <w:t xml:space="preserve">the </w:t>
      </w:r>
      <w:r w:rsidR="003874A6" w:rsidRPr="00267DB5">
        <w:rPr>
          <w:rFonts w:ascii="Calibri" w:hAnsi="Calibri" w:cs="Calibri"/>
        </w:rPr>
        <w:t>course and external resources</w:t>
      </w:r>
      <w:r w:rsidR="00FB3CCC" w:rsidRPr="00267DB5">
        <w:rPr>
          <w:rFonts w:ascii="Calibri" w:hAnsi="Calibri" w:cs="Calibri"/>
        </w:rPr>
        <w:t>.</w:t>
      </w:r>
      <w:r w:rsidR="5BD84061" w:rsidRPr="00267DB5">
        <w:rPr>
          <w:rFonts w:ascii="Calibri" w:hAnsi="Calibri" w:cs="Calibri"/>
        </w:rPr>
        <w:t xml:space="preserve"> </w:t>
      </w:r>
      <w:r w:rsidR="00FB3CCC" w:rsidRPr="00267DB5">
        <w:rPr>
          <w:rFonts w:ascii="Calibri" w:hAnsi="Calibri" w:cs="Calibri"/>
        </w:rPr>
        <w:t>Then</w:t>
      </w:r>
      <w:r w:rsidR="00350F79">
        <w:rPr>
          <w:rFonts w:ascii="Calibri" w:hAnsi="Calibri" w:cs="Calibri"/>
        </w:rPr>
        <w:t>,</w:t>
      </w:r>
      <w:r w:rsidR="2BD4874F" w:rsidRPr="00267DB5">
        <w:rPr>
          <w:rFonts w:ascii="Calibri" w:hAnsi="Calibri" w:cs="Calibri"/>
        </w:rPr>
        <w:t xml:space="preserve"> </w:t>
      </w:r>
      <w:r w:rsidR="003363E1" w:rsidRPr="00267DB5">
        <w:rPr>
          <w:rFonts w:ascii="Calibri" w:hAnsi="Calibri" w:cs="Calibri"/>
        </w:rPr>
        <w:t xml:space="preserve">under that information, </w:t>
      </w:r>
      <w:r w:rsidR="003874A6" w:rsidRPr="00267DB5">
        <w:rPr>
          <w:rFonts w:ascii="Calibri" w:hAnsi="Calibri" w:cs="Calibri"/>
        </w:rPr>
        <w:t>explain the insight that each selected statistic provides for business professionals. Insight explanations can be completed using bullet points.</w:t>
      </w:r>
      <w:r w:rsidRPr="00267DB5">
        <w:rPr>
          <w:rFonts w:ascii="Calibri" w:hAnsi="Calibri" w:cs="Calibri"/>
        </w:rPr>
        <w:t>]</w:t>
      </w:r>
    </w:p>
    <w:p w14:paraId="6A05A809" w14:textId="77777777" w:rsidR="00EB5134" w:rsidRPr="00267DB5" w:rsidRDefault="00EB5134" w:rsidP="00130CDC">
      <w:pPr>
        <w:suppressAutoHyphens/>
        <w:spacing w:after="0" w:line="240" w:lineRule="auto"/>
        <w:contextualSpacing/>
        <w:rPr>
          <w:rFonts w:ascii="Calibri" w:hAnsi="Calibri" w:cs="Calibri"/>
        </w:rPr>
      </w:pPr>
    </w:p>
    <w:tbl>
      <w:tblPr>
        <w:tblStyle w:val="TableGrid"/>
        <w:tblW w:w="5000" w:type="pct"/>
        <w:jc w:val="center"/>
        <w:tblCellMar>
          <w:left w:w="115" w:type="dxa"/>
          <w:right w:w="115" w:type="dxa"/>
        </w:tblCellMar>
        <w:tblLook w:val="04A0" w:firstRow="1" w:lastRow="0" w:firstColumn="1" w:lastColumn="0" w:noHBand="0" w:noVBand="1"/>
      </w:tblPr>
      <w:tblGrid>
        <w:gridCol w:w="2282"/>
        <w:gridCol w:w="2356"/>
        <w:gridCol w:w="2197"/>
        <w:gridCol w:w="2515"/>
      </w:tblGrid>
      <w:tr w:rsidR="00754C0B" w:rsidRPr="00267DB5" w14:paraId="1F4E1E7A" w14:textId="77777777" w:rsidTr="00DB0BE6">
        <w:trPr>
          <w:cantSplit/>
          <w:tblHeader/>
          <w:jc w:val="center"/>
        </w:trPr>
        <w:tc>
          <w:tcPr>
            <w:tcW w:w="1220" w:type="pct"/>
          </w:tcPr>
          <w:p w14:paraId="1E5A74F1" w14:textId="77777777" w:rsidR="00754C0B" w:rsidRPr="00267DB5" w:rsidRDefault="00D10438" w:rsidP="00130CDC">
            <w:pPr>
              <w:suppressAutoHyphens/>
              <w:contextualSpacing/>
              <w:jc w:val="center"/>
              <w:rPr>
                <w:rFonts w:ascii="Calibri" w:hAnsi="Calibri" w:cs="Calibri"/>
                <w:b/>
              </w:rPr>
            </w:pPr>
            <w:r w:rsidRPr="00267DB5">
              <w:rPr>
                <w:rFonts w:ascii="Calibri" w:hAnsi="Calibri" w:cs="Calibri"/>
                <w:b/>
              </w:rPr>
              <w:t>Category</w:t>
            </w:r>
          </w:p>
        </w:tc>
        <w:tc>
          <w:tcPr>
            <w:tcW w:w="1260" w:type="pct"/>
          </w:tcPr>
          <w:p w14:paraId="18212F33" w14:textId="6E9C7F86" w:rsidR="00754C0B" w:rsidRPr="00267DB5" w:rsidRDefault="00A1223D" w:rsidP="00130CDC">
            <w:pPr>
              <w:pStyle w:val="Heading3"/>
              <w:keepNext w:val="0"/>
              <w:keepLines w:val="0"/>
              <w:suppressAutoHyphens/>
              <w:spacing w:before="0"/>
              <w:contextualSpacing/>
              <w:jc w:val="center"/>
              <w:outlineLvl w:val="2"/>
              <w:rPr>
                <w:rFonts w:ascii="Calibri" w:hAnsi="Calibri" w:cs="Calibri"/>
                <w:szCs w:val="22"/>
              </w:rPr>
            </w:pPr>
            <w:r w:rsidRPr="00267DB5">
              <w:rPr>
                <w:rFonts w:ascii="Calibri" w:hAnsi="Calibri" w:cs="Calibri"/>
                <w:szCs w:val="22"/>
              </w:rPr>
              <w:t>Mexico</w:t>
            </w:r>
          </w:p>
        </w:tc>
        <w:tc>
          <w:tcPr>
            <w:tcW w:w="1175" w:type="pct"/>
          </w:tcPr>
          <w:p w14:paraId="041219D3" w14:textId="04D52F92" w:rsidR="00754C0B" w:rsidRPr="00267DB5" w:rsidRDefault="00A1223D" w:rsidP="00130CDC">
            <w:pPr>
              <w:pStyle w:val="Heading3"/>
              <w:keepNext w:val="0"/>
              <w:keepLines w:val="0"/>
              <w:suppressAutoHyphens/>
              <w:spacing w:before="0"/>
              <w:contextualSpacing/>
              <w:jc w:val="center"/>
              <w:outlineLvl w:val="2"/>
              <w:rPr>
                <w:rFonts w:ascii="Calibri" w:hAnsi="Calibri" w:cs="Calibri"/>
                <w:szCs w:val="22"/>
              </w:rPr>
            </w:pPr>
            <w:r w:rsidRPr="00267DB5">
              <w:rPr>
                <w:rFonts w:ascii="Calibri" w:hAnsi="Calibri" w:cs="Calibri"/>
                <w:szCs w:val="22"/>
              </w:rPr>
              <w:t>Germany</w:t>
            </w:r>
          </w:p>
        </w:tc>
        <w:tc>
          <w:tcPr>
            <w:tcW w:w="1345" w:type="pct"/>
          </w:tcPr>
          <w:p w14:paraId="33DE1334" w14:textId="3210C5D8" w:rsidR="00754C0B" w:rsidRPr="00267DB5" w:rsidRDefault="5716A7DA" w:rsidP="00130CDC">
            <w:pPr>
              <w:pStyle w:val="Heading3"/>
              <w:keepNext w:val="0"/>
              <w:keepLines w:val="0"/>
              <w:suppressAutoHyphens/>
              <w:spacing w:before="0"/>
              <w:contextualSpacing/>
              <w:jc w:val="center"/>
              <w:outlineLvl w:val="2"/>
              <w:rPr>
                <w:rFonts w:ascii="Calibri" w:hAnsi="Calibri" w:cs="Calibri"/>
                <w:szCs w:val="22"/>
              </w:rPr>
            </w:pPr>
            <w:r w:rsidRPr="00267DB5">
              <w:rPr>
                <w:rFonts w:ascii="Calibri" w:hAnsi="Calibri" w:cs="Calibri"/>
                <w:szCs w:val="22"/>
              </w:rPr>
              <w:t xml:space="preserve">[Insert Country Selection </w:t>
            </w:r>
            <w:proofErr w:type="gramStart"/>
            <w:r w:rsidR="400C4EA7" w:rsidRPr="00267DB5">
              <w:rPr>
                <w:rFonts w:ascii="Calibri" w:hAnsi="Calibri" w:cs="Calibri"/>
                <w:szCs w:val="22"/>
              </w:rPr>
              <w:t>F</w:t>
            </w:r>
            <w:r w:rsidRPr="00267DB5">
              <w:rPr>
                <w:rFonts w:ascii="Calibri" w:hAnsi="Calibri" w:cs="Calibri"/>
                <w:szCs w:val="22"/>
              </w:rPr>
              <w:t>rom</w:t>
            </w:r>
            <w:proofErr w:type="gramEnd"/>
            <w:r w:rsidRPr="00267DB5">
              <w:rPr>
                <w:rFonts w:ascii="Calibri" w:hAnsi="Calibri" w:cs="Calibri"/>
                <w:szCs w:val="22"/>
              </w:rPr>
              <w:t xml:space="preserve"> Course Project]</w:t>
            </w:r>
          </w:p>
        </w:tc>
      </w:tr>
      <w:tr w:rsidR="00754C0B" w:rsidRPr="00267DB5" w14:paraId="2A45EA3E" w14:textId="77777777" w:rsidTr="00DB0BE6">
        <w:trPr>
          <w:cantSplit/>
          <w:jc w:val="center"/>
        </w:trPr>
        <w:tc>
          <w:tcPr>
            <w:tcW w:w="1220" w:type="pct"/>
          </w:tcPr>
          <w:p w14:paraId="6BE394C3" w14:textId="77777777" w:rsidR="00754C0B" w:rsidRPr="00267DB5" w:rsidRDefault="00754C0B" w:rsidP="00130CDC">
            <w:pPr>
              <w:suppressAutoHyphens/>
              <w:contextualSpacing/>
              <w:rPr>
                <w:rFonts w:ascii="Calibri" w:hAnsi="Calibri" w:cs="Calibri"/>
              </w:rPr>
            </w:pPr>
            <w:r w:rsidRPr="00267DB5">
              <w:rPr>
                <w:rFonts w:ascii="Calibri" w:hAnsi="Calibri" w:cs="Calibri"/>
              </w:rPr>
              <w:t xml:space="preserve">Political </w:t>
            </w:r>
            <w:r w:rsidR="002C5229" w:rsidRPr="00267DB5">
              <w:rPr>
                <w:rFonts w:ascii="Calibri" w:hAnsi="Calibri" w:cs="Calibri"/>
              </w:rPr>
              <w:t>S</w:t>
            </w:r>
            <w:r w:rsidRPr="00267DB5">
              <w:rPr>
                <w:rFonts w:ascii="Calibri" w:hAnsi="Calibri" w:cs="Calibri"/>
              </w:rPr>
              <w:t>ystem</w:t>
            </w:r>
          </w:p>
        </w:tc>
        <w:tc>
          <w:tcPr>
            <w:tcW w:w="1260" w:type="pct"/>
          </w:tcPr>
          <w:p w14:paraId="174AA612" w14:textId="5EBCC358" w:rsidR="00754C0B" w:rsidRPr="00267DB5" w:rsidRDefault="006D5B3C" w:rsidP="00130CDC">
            <w:pPr>
              <w:suppressAutoHyphens/>
              <w:contextualSpacing/>
              <w:rPr>
                <w:rFonts w:ascii="Calibri" w:hAnsi="Calibri" w:cs="Calibri"/>
              </w:rPr>
            </w:pPr>
            <w:r>
              <w:rPr>
                <w:rFonts w:ascii="Calibri" w:hAnsi="Calibri" w:cs="Calibri"/>
              </w:rPr>
              <w:t>Federal presidential republic</w:t>
            </w:r>
          </w:p>
        </w:tc>
        <w:tc>
          <w:tcPr>
            <w:tcW w:w="1175" w:type="pct"/>
          </w:tcPr>
          <w:p w14:paraId="0CE268A0" w14:textId="6283F231" w:rsidR="00754C0B" w:rsidRPr="00267DB5" w:rsidRDefault="006D5B3C" w:rsidP="00130CDC">
            <w:pPr>
              <w:suppressAutoHyphens/>
              <w:contextualSpacing/>
              <w:rPr>
                <w:rFonts w:ascii="Calibri" w:hAnsi="Calibri" w:cs="Calibri"/>
              </w:rPr>
            </w:pPr>
            <w:r>
              <w:rPr>
                <w:rFonts w:ascii="Calibri" w:hAnsi="Calibri" w:cs="Calibri"/>
              </w:rPr>
              <w:t>Federal Parliamentary Republic</w:t>
            </w:r>
          </w:p>
        </w:tc>
        <w:tc>
          <w:tcPr>
            <w:tcW w:w="1345" w:type="pct"/>
          </w:tcPr>
          <w:p w14:paraId="0373F868" w14:textId="5737C1FE" w:rsidR="00754C0B" w:rsidRPr="00267DB5" w:rsidRDefault="006D5B3C" w:rsidP="00130CDC">
            <w:pPr>
              <w:suppressAutoHyphens/>
              <w:contextualSpacing/>
              <w:rPr>
                <w:rFonts w:ascii="Calibri" w:hAnsi="Calibri" w:cs="Calibri"/>
              </w:rPr>
            </w:pPr>
            <w:r>
              <w:rPr>
                <w:rFonts w:ascii="Calibri" w:hAnsi="Calibri" w:cs="Calibri"/>
              </w:rPr>
              <w:t>Federal Parliamentary Republic</w:t>
            </w:r>
          </w:p>
        </w:tc>
      </w:tr>
      <w:tr w:rsidR="00754C0B" w:rsidRPr="00267DB5" w14:paraId="5ED5F286" w14:textId="77777777" w:rsidTr="00DB0BE6">
        <w:trPr>
          <w:cantSplit/>
          <w:jc w:val="center"/>
        </w:trPr>
        <w:tc>
          <w:tcPr>
            <w:tcW w:w="1220" w:type="pct"/>
          </w:tcPr>
          <w:p w14:paraId="6CDD95C0" w14:textId="77777777" w:rsidR="00754C0B" w:rsidRPr="00267DB5" w:rsidRDefault="00754C0B" w:rsidP="00130CDC">
            <w:pPr>
              <w:suppressAutoHyphens/>
              <w:contextualSpacing/>
              <w:rPr>
                <w:rFonts w:ascii="Calibri" w:hAnsi="Calibri" w:cs="Calibri"/>
              </w:rPr>
            </w:pPr>
            <w:r w:rsidRPr="00267DB5">
              <w:rPr>
                <w:rFonts w:ascii="Calibri" w:hAnsi="Calibri" w:cs="Calibri"/>
              </w:rPr>
              <w:t xml:space="preserve">Economic </w:t>
            </w:r>
            <w:r w:rsidR="002C5229" w:rsidRPr="00267DB5">
              <w:rPr>
                <w:rFonts w:ascii="Calibri" w:hAnsi="Calibri" w:cs="Calibri"/>
              </w:rPr>
              <w:t>C</w:t>
            </w:r>
            <w:r w:rsidRPr="00267DB5">
              <w:rPr>
                <w:rFonts w:ascii="Calibri" w:hAnsi="Calibri" w:cs="Calibri"/>
              </w:rPr>
              <w:t>lassification</w:t>
            </w:r>
          </w:p>
        </w:tc>
        <w:tc>
          <w:tcPr>
            <w:tcW w:w="1260" w:type="pct"/>
          </w:tcPr>
          <w:p w14:paraId="05785255" w14:textId="0ED1C0F2" w:rsidR="00754C0B" w:rsidRPr="00267DB5" w:rsidRDefault="006D5B3C" w:rsidP="00130CDC">
            <w:pPr>
              <w:suppressAutoHyphens/>
              <w:contextualSpacing/>
              <w:rPr>
                <w:rFonts w:ascii="Calibri" w:hAnsi="Calibri" w:cs="Calibri"/>
              </w:rPr>
            </w:pPr>
            <w:r>
              <w:rPr>
                <w:rFonts w:ascii="Calibri" w:hAnsi="Calibri" w:cs="Calibri"/>
              </w:rPr>
              <w:t>Emerging Market</w:t>
            </w:r>
          </w:p>
        </w:tc>
        <w:tc>
          <w:tcPr>
            <w:tcW w:w="1175" w:type="pct"/>
          </w:tcPr>
          <w:p w14:paraId="151E9697" w14:textId="355BC9F7" w:rsidR="00754C0B" w:rsidRPr="00267DB5" w:rsidRDefault="006D5B3C" w:rsidP="00130CDC">
            <w:pPr>
              <w:suppressAutoHyphens/>
              <w:contextualSpacing/>
              <w:rPr>
                <w:rFonts w:ascii="Calibri" w:hAnsi="Calibri" w:cs="Calibri"/>
              </w:rPr>
            </w:pPr>
            <w:r>
              <w:rPr>
                <w:rFonts w:ascii="Calibri" w:hAnsi="Calibri" w:cs="Calibri"/>
              </w:rPr>
              <w:t xml:space="preserve">Advanced economy </w:t>
            </w:r>
          </w:p>
        </w:tc>
        <w:tc>
          <w:tcPr>
            <w:tcW w:w="1345" w:type="pct"/>
          </w:tcPr>
          <w:p w14:paraId="4D953ADC" w14:textId="617F745F" w:rsidR="00754C0B" w:rsidRPr="00267DB5" w:rsidRDefault="006D5B3C" w:rsidP="00130CDC">
            <w:pPr>
              <w:suppressAutoHyphens/>
              <w:contextualSpacing/>
              <w:rPr>
                <w:rFonts w:ascii="Calibri" w:hAnsi="Calibri" w:cs="Calibri"/>
              </w:rPr>
            </w:pPr>
            <w:r>
              <w:rPr>
                <w:rFonts w:ascii="Calibri" w:hAnsi="Calibri" w:cs="Calibri"/>
              </w:rPr>
              <w:t>Emerging market</w:t>
            </w:r>
          </w:p>
        </w:tc>
      </w:tr>
      <w:tr w:rsidR="00754C0B" w:rsidRPr="00267DB5" w14:paraId="20510C66" w14:textId="77777777" w:rsidTr="00DB0BE6">
        <w:trPr>
          <w:cantSplit/>
          <w:jc w:val="center"/>
        </w:trPr>
        <w:tc>
          <w:tcPr>
            <w:tcW w:w="1220" w:type="pct"/>
          </w:tcPr>
          <w:p w14:paraId="2EC0AF69" w14:textId="77777777" w:rsidR="00754C0B" w:rsidRPr="00267DB5" w:rsidRDefault="00754C0B" w:rsidP="00130CDC">
            <w:pPr>
              <w:suppressAutoHyphens/>
              <w:contextualSpacing/>
              <w:rPr>
                <w:rFonts w:ascii="Calibri" w:hAnsi="Calibri" w:cs="Calibri"/>
              </w:rPr>
            </w:pPr>
            <w:r w:rsidRPr="00267DB5">
              <w:rPr>
                <w:rFonts w:ascii="Calibri" w:hAnsi="Calibri" w:cs="Calibri"/>
              </w:rPr>
              <w:t xml:space="preserve">Economic </w:t>
            </w:r>
            <w:r w:rsidR="002C5229" w:rsidRPr="00267DB5">
              <w:rPr>
                <w:rFonts w:ascii="Calibri" w:hAnsi="Calibri" w:cs="Calibri"/>
              </w:rPr>
              <w:t>B</w:t>
            </w:r>
            <w:r w:rsidRPr="00267DB5">
              <w:rPr>
                <w:rFonts w:ascii="Calibri" w:hAnsi="Calibri" w:cs="Calibri"/>
              </w:rPr>
              <w:t xml:space="preserve">locs </w:t>
            </w:r>
            <w:r w:rsidR="002C5229" w:rsidRPr="00267DB5">
              <w:rPr>
                <w:rFonts w:ascii="Calibri" w:hAnsi="Calibri" w:cs="Calibri"/>
              </w:rPr>
              <w:t>I</w:t>
            </w:r>
            <w:r w:rsidRPr="00267DB5">
              <w:rPr>
                <w:rFonts w:ascii="Calibri" w:hAnsi="Calibri" w:cs="Calibri"/>
              </w:rPr>
              <w:t xml:space="preserve">mpacting </w:t>
            </w:r>
            <w:r w:rsidR="002C5229" w:rsidRPr="00267DB5">
              <w:rPr>
                <w:rFonts w:ascii="Calibri" w:hAnsi="Calibri" w:cs="Calibri"/>
              </w:rPr>
              <w:t>T</w:t>
            </w:r>
            <w:r w:rsidRPr="00267DB5">
              <w:rPr>
                <w:rFonts w:ascii="Calibri" w:hAnsi="Calibri" w:cs="Calibri"/>
              </w:rPr>
              <w:t>rade</w:t>
            </w:r>
          </w:p>
        </w:tc>
        <w:tc>
          <w:tcPr>
            <w:tcW w:w="1260" w:type="pct"/>
          </w:tcPr>
          <w:p w14:paraId="59647525" w14:textId="3495B9D1" w:rsidR="00754C0B" w:rsidRPr="00267DB5" w:rsidRDefault="006D5B3C" w:rsidP="00130CDC">
            <w:pPr>
              <w:suppressAutoHyphens/>
              <w:contextualSpacing/>
              <w:rPr>
                <w:rFonts w:ascii="Calibri" w:hAnsi="Calibri" w:cs="Calibri"/>
              </w:rPr>
            </w:pPr>
            <w:r>
              <w:rPr>
                <w:rFonts w:ascii="Calibri" w:hAnsi="Calibri" w:cs="Calibri"/>
              </w:rPr>
              <w:t>USMCA</w:t>
            </w:r>
          </w:p>
        </w:tc>
        <w:tc>
          <w:tcPr>
            <w:tcW w:w="1175" w:type="pct"/>
          </w:tcPr>
          <w:p w14:paraId="1984B1BD" w14:textId="70876228" w:rsidR="00754C0B" w:rsidRPr="00267DB5" w:rsidRDefault="006D5B3C" w:rsidP="00130CDC">
            <w:pPr>
              <w:suppressAutoHyphens/>
              <w:contextualSpacing/>
              <w:rPr>
                <w:rFonts w:ascii="Calibri" w:hAnsi="Calibri" w:cs="Calibri"/>
              </w:rPr>
            </w:pPr>
            <w:r>
              <w:rPr>
                <w:rFonts w:ascii="Calibri" w:hAnsi="Calibri" w:cs="Calibri"/>
              </w:rPr>
              <w:t>European Union</w:t>
            </w:r>
          </w:p>
        </w:tc>
        <w:tc>
          <w:tcPr>
            <w:tcW w:w="1345" w:type="pct"/>
          </w:tcPr>
          <w:p w14:paraId="2EFB1A60" w14:textId="4D83AF74" w:rsidR="00754C0B" w:rsidRPr="00267DB5" w:rsidRDefault="006D5B3C" w:rsidP="00130CDC">
            <w:pPr>
              <w:suppressAutoHyphens/>
              <w:contextualSpacing/>
              <w:rPr>
                <w:rFonts w:ascii="Calibri" w:hAnsi="Calibri" w:cs="Calibri"/>
              </w:rPr>
            </w:pPr>
            <w:r>
              <w:rPr>
                <w:rFonts w:ascii="Calibri" w:hAnsi="Calibri" w:cs="Calibri"/>
              </w:rPr>
              <w:t>BRICS, SAFTA</w:t>
            </w:r>
          </w:p>
        </w:tc>
      </w:tr>
      <w:tr w:rsidR="00754C0B" w:rsidRPr="00267DB5" w14:paraId="6EAC1994" w14:textId="77777777" w:rsidTr="00DB0BE6">
        <w:trPr>
          <w:cantSplit/>
          <w:jc w:val="center"/>
        </w:trPr>
        <w:tc>
          <w:tcPr>
            <w:tcW w:w="1220" w:type="pct"/>
          </w:tcPr>
          <w:p w14:paraId="6073DC83" w14:textId="77777777" w:rsidR="00754C0B" w:rsidRPr="00267DB5" w:rsidRDefault="00754C0B" w:rsidP="00130CDC">
            <w:pPr>
              <w:suppressAutoHyphens/>
              <w:contextualSpacing/>
              <w:rPr>
                <w:rFonts w:ascii="Calibri" w:hAnsi="Calibri" w:cs="Calibri"/>
              </w:rPr>
            </w:pPr>
            <w:r w:rsidRPr="00267DB5">
              <w:rPr>
                <w:rFonts w:ascii="Calibri" w:hAnsi="Calibri" w:cs="Calibri"/>
              </w:rPr>
              <w:t xml:space="preserve">Gross </w:t>
            </w:r>
            <w:r w:rsidR="002C5229" w:rsidRPr="00267DB5">
              <w:rPr>
                <w:rFonts w:ascii="Calibri" w:hAnsi="Calibri" w:cs="Calibri"/>
              </w:rPr>
              <w:t>D</w:t>
            </w:r>
            <w:r w:rsidRPr="00267DB5">
              <w:rPr>
                <w:rFonts w:ascii="Calibri" w:hAnsi="Calibri" w:cs="Calibri"/>
              </w:rPr>
              <w:t xml:space="preserve">omestic </w:t>
            </w:r>
            <w:r w:rsidR="002C5229" w:rsidRPr="00267DB5">
              <w:rPr>
                <w:rFonts w:ascii="Calibri" w:hAnsi="Calibri" w:cs="Calibri"/>
              </w:rPr>
              <w:t>P</w:t>
            </w:r>
            <w:r w:rsidRPr="00267DB5">
              <w:rPr>
                <w:rFonts w:ascii="Calibri" w:hAnsi="Calibri" w:cs="Calibri"/>
              </w:rPr>
              <w:t>roduct</w:t>
            </w:r>
          </w:p>
        </w:tc>
        <w:tc>
          <w:tcPr>
            <w:tcW w:w="1260" w:type="pct"/>
          </w:tcPr>
          <w:p w14:paraId="0D9FC80A" w14:textId="5CCF6338" w:rsidR="00754C0B" w:rsidRPr="00267DB5" w:rsidRDefault="006D5B3C" w:rsidP="00130CDC">
            <w:pPr>
              <w:suppressAutoHyphens/>
              <w:contextualSpacing/>
              <w:rPr>
                <w:rFonts w:ascii="Calibri" w:hAnsi="Calibri" w:cs="Calibri"/>
              </w:rPr>
            </w:pPr>
            <w:r>
              <w:rPr>
                <w:rFonts w:ascii="Calibri" w:hAnsi="Calibri" w:cs="Calibri"/>
              </w:rPr>
              <w:t>$1.8 trillion</w:t>
            </w:r>
          </w:p>
        </w:tc>
        <w:tc>
          <w:tcPr>
            <w:tcW w:w="1175" w:type="pct"/>
          </w:tcPr>
          <w:p w14:paraId="08C6638A" w14:textId="26BE3774" w:rsidR="00754C0B" w:rsidRPr="00267DB5" w:rsidRDefault="006D5B3C" w:rsidP="00130CDC">
            <w:pPr>
              <w:suppressAutoHyphens/>
              <w:contextualSpacing/>
              <w:rPr>
                <w:rFonts w:ascii="Calibri" w:hAnsi="Calibri" w:cs="Calibri"/>
              </w:rPr>
            </w:pPr>
            <w:r>
              <w:rPr>
                <w:rFonts w:ascii="Calibri" w:hAnsi="Calibri" w:cs="Calibri"/>
              </w:rPr>
              <w:t>$4.5 trillion</w:t>
            </w:r>
          </w:p>
        </w:tc>
        <w:tc>
          <w:tcPr>
            <w:tcW w:w="1345" w:type="pct"/>
          </w:tcPr>
          <w:p w14:paraId="4F54590C" w14:textId="2C1A689A" w:rsidR="00754C0B" w:rsidRPr="00267DB5" w:rsidRDefault="006D5B3C" w:rsidP="00130CDC">
            <w:pPr>
              <w:suppressAutoHyphens/>
              <w:contextualSpacing/>
              <w:rPr>
                <w:rFonts w:ascii="Calibri" w:hAnsi="Calibri" w:cs="Calibri"/>
              </w:rPr>
            </w:pPr>
            <w:r>
              <w:rPr>
                <w:rFonts w:ascii="Calibri" w:hAnsi="Calibri" w:cs="Calibri"/>
              </w:rPr>
              <w:t xml:space="preserve">3.7 trillion </w:t>
            </w:r>
          </w:p>
        </w:tc>
      </w:tr>
      <w:tr w:rsidR="00754C0B" w:rsidRPr="00267DB5" w14:paraId="5CA06023" w14:textId="77777777" w:rsidTr="00DB0BE6">
        <w:trPr>
          <w:cantSplit/>
          <w:jc w:val="center"/>
        </w:trPr>
        <w:tc>
          <w:tcPr>
            <w:tcW w:w="1220" w:type="pct"/>
          </w:tcPr>
          <w:p w14:paraId="010F4A22" w14:textId="77777777" w:rsidR="00754C0B" w:rsidRPr="00267DB5" w:rsidRDefault="00754C0B" w:rsidP="00130CDC">
            <w:pPr>
              <w:suppressAutoHyphens/>
              <w:contextualSpacing/>
              <w:rPr>
                <w:rFonts w:ascii="Calibri" w:hAnsi="Calibri" w:cs="Calibri"/>
              </w:rPr>
            </w:pPr>
            <w:r w:rsidRPr="00267DB5">
              <w:rPr>
                <w:rFonts w:ascii="Calibri" w:hAnsi="Calibri" w:cs="Calibri"/>
              </w:rPr>
              <w:t xml:space="preserve">Purchasing </w:t>
            </w:r>
            <w:r w:rsidR="002C5229" w:rsidRPr="00267DB5">
              <w:rPr>
                <w:rFonts w:ascii="Calibri" w:hAnsi="Calibri" w:cs="Calibri"/>
              </w:rPr>
              <w:t>P</w:t>
            </w:r>
            <w:r w:rsidRPr="00267DB5">
              <w:rPr>
                <w:rFonts w:ascii="Calibri" w:hAnsi="Calibri" w:cs="Calibri"/>
              </w:rPr>
              <w:t xml:space="preserve">ower </w:t>
            </w:r>
            <w:r w:rsidR="002C5229" w:rsidRPr="00267DB5">
              <w:rPr>
                <w:rFonts w:ascii="Calibri" w:hAnsi="Calibri" w:cs="Calibri"/>
              </w:rPr>
              <w:t>P</w:t>
            </w:r>
            <w:r w:rsidRPr="00267DB5">
              <w:rPr>
                <w:rFonts w:ascii="Calibri" w:hAnsi="Calibri" w:cs="Calibri"/>
              </w:rPr>
              <w:t>arity</w:t>
            </w:r>
          </w:p>
        </w:tc>
        <w:tc>
          <w:tcPr>
            <w:tcW w:w="1260" w:type="pct"/>
          </w:tcPr>
          <w:p w14:paraId="793F5FA6" w14:textId="211EE0F0" w:rsidR="00754C0B" w:rsidRPr="00267DB5" w:rsidRDefault="006D5B3C" w:rsidP="00130CDC">
            <w:pPr>
              <w:suppressAutoHyphens/>
              <w:contextualSpacing/>
              <w:rPr>
                <w:rFonts w:ascii="Calibri" w:hAnsi="Calibri" w:cs="Calibri"/>
              </w:rPr>
            </w:pPr>
            <w:r>
              <w:rPr>
                <w:rFonts w:ascii="Calibri" w:hAnsi="Calibri" w:cs="Calibri"/>
              </w:rPr>
              <w:t xml:space="preserve">Medium </w:t>
            </w:r>
          </w:p>
        </w:tc>
        <w:tc>
          <w:tcPr>
            <w:tcW w:w="1175" w:type="pct"/>
          </w:tcPr>
          <w:p w14:paraId="48104F5B" w14:textId="1444EC93" w:rsidR="00754C0B" w:rsidRPr="00267DB5" w:rsidRDefault="006D5B3C" w:rsidP="00130CDC">
            <w:pPr>
              <w:suppressAutoHyphens/>
              <w:contextualSpacing/>
              <w:rPr>
                <w:rFonts w:ascii="Calibri" w:hAnsi="Calibri" w:cs="Calibri"/>
              </w:rPr>
            </w:pPr>
            <w:r>
              <w:rPr>
                <w:rFonts w:ascii="Calibri" w:hAnsi="Calibri" w:cs="Calibri"/>
              </w:rPr>
              <w:t>High</w:t>
            </w:r>
          </w:p>
        </w:tc>
        <w:tc>
          <w:tcPr>
            <w:tcW w:w="1345" w:type="pct"/>
          </w:tcPr>
          <w:p w14:paraId="6161F5A9" w14:textId="79E03FCA" w:rsidR="00754C0B" w:rsidRPr="00267DB5" w:rsidRDefault="006D5B3C" w:rsidP="00130CDC">
            <w:pPr>
              <w:suppressAutoHyphens/>
              <w:contextualSpacing/>
              <w:rPr>
                <w:rFonts w:ascii="Calibri" w:hAnsi="Calibri" w:cs="Calibri"/>
              </w:rPr>
            </w:pPr>
            <w:r>
              <w:rPr>
                <w:rFonts w:ascii="Calibri" w:hAnsi="Calibri" w:cs="Calibri"/>
              </w:rPr>
              <w:t xml:space="preserve">Medium </w:t>
            </w:r>
          </w:p>
        </w:tc>
      </w:tr>
      <w:tr w:rsidR="00754C0B" w:rsidRPr="00267DB5" w14:paraId="60989BC4" w14:textId="77777777" w:rsidTr="00DB0BE6">
        <w:trPr>
          <w:cantSplit/>
          <w:jc w:val="center"/>
        </w:trPr>
        <w:tc>
          <w:tcPr>
            <w:tcW w:w="1220" w:type="pct"/>
          </w:tcPr>
          <w:p w14:paraId="75E273CE" w14:textId="293CF71E" w:rsidR="00754C0B" w:rsidRPr="00267DB5" w:rsidRDefault="666EB120" w:rsidP="00130CDC">
            <w:pPr>
              <w:suppressAutoHyphens/>
              <w:contextualSpacing/>
              <w:rPr>
                <w:rFonts w:ascii="Calibri" w:hAnsi="Calibri" w:cs="Calibri"/>
              </w:rPr>
            </w:pPr>
            <w:r w:rsidRPr="00267DB5">
              <w:rPr>
                <w:rFonts w:ascii="Calibri" w:hAnsi="Calibri" w:cs="Calibri"/>
              </w:rPr>
              <w:t>Current Interest Rate</w:t>
            </w:r>
          </w:p>
        </w:tc>
        <w:tc>
          <w:tcPr>
            <w:tcW w:w="1260" w:type="pct"/>
          </w:tcPr>
          <w:p w14:paraId="74F21C14" w14:textId="52888E9F" w:rsidR="00754C0B" w:rsidRPr="00267DB5" w:rsidRDefault="006D5B3C" w:rsidP="00130CDC">
            <w:pPr>
              <w:suppressAutoHyphens/>
              <w:contextualSpacing/>
              <w:rPr>
                <w:rFonts w:ascii="Calibri" w:hAnsi="Calibri" w:cs="Calibri"/>
              </w:rPr>
            </w:pPr>
            <w:r>
              <w:rPr>
                <w:rFonts w:ascii="Calibri" w:hAnsi="Calibri" w:cs="Calibri"/>
              </w:rPr>
              <w:t>11%</w:t>
            </w:r>
          </w:p>
        </w:tc>
        <w:tc>
          <w:tcPr>
            <w:tcW w:w="1175" w:type="pct"/>
          </w:tcPr>
          <w:p w14:paraId="6430A01B" w14:textId="5E70C77D" w:rsidR="00754C0B" w:rsidRPr="00267DB5" w:rsidRDefault="006D5B3C" w:rsidP="00130CDC">
            <w:pPr>
              <w:suppressAutoHyphens/>
              <w:contextualSpacing/>
              <w:rPr>
                <w:rFonts w:ascii="Calibri" w:hAnsi="Calibri" w:cs="Calibri"/>
              </w:rPr>
            </w:pPr>
            <w:r>
              <w:rPr>
                <w:rFonts w:ascii="Calibri" w:hAnsi="Calibri" w:cs="Calibri"/>
              </w:rPr>
              <w:t>4%</w:t>
            </w:r>
          </w:p>
        </w:tc>
        <w:tc>
          <w:tcPr>
            <w:tcW w:w="1345" w:type="pct"/>
          </w:tcPr>
          <w:p w14:paraId="7924876C" w14:textId="3A213361" w:rsidR="00754C0B" w:rsidRPr="00267DB5" w:rsidRDefault="006D5B3C" w:rsidP="00130CDC">
            <w:pPr>
              <w:suppressAutoHyphens/>
              <w:contextualSpacing/>
              <w:rPr>
                <w:rFonts w:ascii="Calibri" w:hAnsi="Calibri" w:cs="Calibri"/>
              </w:rPr>
            </w:pPr>
            <w:r>
              <w:rPr>
                <w:rFonts w:ascii="Calibri" w:hAnsi="Calibri" w:cs="Calibri"/>
              </w:rPr>
              <w:t>6.5%</w:t>
            </w:r>
          </w:p>
        </w:tc>
      </w:tr>
      <w:tr w:rsidR="38014C7C" w:rsidRPr="00267DB5" w14:paraId="466310FA" w14:textId="77777777" w:rsidTr="00DB0BE6">
        <w:trPr>
          <w:cantSplit/>
          <w:jc w:val="center"/>
        </w:trPr>
        <w:tc>
          <w:tcPr>
            <w:tcW w:w="2282" w:type="dxa"/>
          </w:tcPr>
          <w:p w14:paraId="0AB1328B" w14:textId="466C2460" w:rsidR="6FAC0704" w:rsidRPr="00267DB5" w:rsidRDefault="6FAC0704" w:rsidP="00130CDC">
            <w:pPr>
              <w:suppressAutoHyphens/>
              <w:contextualSpacing/>
              <w:rPr>
                <w:rFonts w:ascii="Calibri" w:hAnsi="Calibri" w:cs="Calibri"/>
              </w:rPr>
            </w:pPr>
            <w:r w:rsidRPr="00267DB5">
              <w:rPr>
                <w:rFonts w:ascii="Calibri" w:hAnsi="Calibri" w:cs="Calibri"/>
              </w:rPr>
              <w:t>Current Inflation Rate</w:t>
            </w:r>
          </w:p>
        </w:tc>
        <w:tc>
          <w:tcPr>
            <w:tcW w:w="2356" w:type="dxa"/>
          </w:tcPr>
          <w:p w14:paraId="62C76274" w14:textId="03811974" w:rsidR="6FAC0704" w:rsidRPr="00267DB5" w:rsidRDefault="006D5B3C" w:rsidP="00130CDC">
            <w:pPr>
              <w:suppressAutoHyphens/>
              <w:contextualSpacing/>
              <w:rPr>
                <w:rFonts w:ascii="Calibri" w:hAnsi="Calibri" w:cs="Calibri"/>
              </w:rPr>
            </w:pPr>
            <w:r>
              <w:rPr>
                <w:rFonts w:ascii="Calibri" w:hAnsi="Calibri" w:cs="Calibri"/>
              </w:rPr>
              <w:t>4-5%</w:t>
            </w:r>
          </w:p>
        </w:tc>
        <w:tc>
          <w:tcPr>
            <w:tcW w:w="2197" w:type="dxa"/>
          </w:tcPr>
          <w:p w14:paraId="7316545B" w14:textId="61DE44D5" w:rsidR="6FAC0704" w:rsidRPr="00267DB5" w:rsidRDefault="006D5B3C" w:rsidP="00130CDC">
            <w:pPr>
              <w:suppressAutoHyphens/>
              <w:contextualSpacing/>
              <w:rPr>
                <w:rFonts w:ascii="Calibri" w:hAnsi="Calibri" w:cs="Calibri"/>
              </w:rPr>
            </w:pPr>
            <w:r>
              <w:rPr>
                <w:rFonts w:ascii="Calibri" w:hAnsi="Calibri" w:cs="Calibri"/>
              </w:rPr>
              <w:t>2-3%</w:t>
            </w:r>
          </w:p>
        </w:tc>
        <w:tc>
          <w:tcPr>
            <w:tcW w:w="2515" w:type="dxa"/>
          </w:tcPr>
          <w:p w14:paraId="1A355F0E" w14:textId="661BCE44" w:rsidR="6FAC0704" w:rsidRPr="00267DB5" w:rsidRDefault="006D5B3C" w:rsidP="00130CDC">
            <w:pPr>
              <w:suppressAutoHyphens/>
              <w:contextualSpacing/>
              <w:rPr>
                <w:rFonts w:ascii="Calibri" w:hAnsi="Calibri" w:cs="Calibri"/>
              </w:rPr>
            </w:pPr>
            <w:r>
              <w:rPr>
                <w:rFonts w:ascii="Calibri" w:hAnsi="Calibri" w:cs="Calibri"/>
              </w:rPr>
              <w:t>5-6%</w:t>
            </w:r>
          </w:p>
        </w:tc>
      </w:tr>
    </w:tbl>
    <w:p w14:paraId="5A39BBE3" w14:textId="53C4E543" w:rsidR="00BA5C74" w:rsidRDefault="00BA5C74" w:rsidP="00130CDC">
      <w:pPr>
        <w:suppressAutoHyphens/>
        <w:spacing w:after="0" w:line="240" w:lineRule="auto"/>
        <w:contextualSpacing/>
        <w:rPr>
          <w:rFonts w:ascii="Calibri" w:hAnsi="Calibri" w:cs="Calibri"/>
        </w:rPr>
      </w:pPr>
    </w:p>
    <w:p w14:paraId="755D619A" w14:textId="5924E497" w:rsidR="006D5B3C" w:rsidRPr="006D5B3C" w:rsidRDefault="006D5B3C" w:rsidP="006D5B3C">
      <w:pPr>
        <w:suppressAutoHyphens/>
        <w:spacing w:after="0" w:line="240" w:lineRule="auto"/>
        <w:contextualSpacing/>
        <w:rPr>
          <w:rFonts w:ascii="Calibri" w:hAnsi="Calibri" w:cs="Calibri"/>
        </w:rPr>
      </w:pPr>
      <w:r w:rsidRPr="006D5B3C">
        <w:rPr>
          <w:rFonts w:ascii="Calibri" w:hAnsi="Calibri" w:cs="Calibri"/>
        </w:rPr>
        <w:lastRenderedPageBreak/>
        <w:t xml:space="preserve">High PPP and GDP in Germany </w:t>
      </w:r>
      <w:r w:rsidR="00350F79">
        <w:rPr>
          <w:rFonts w:ascii="Calibri" w:hAnsi="Calibri" w:cs="Calibri"/>
        </w:rPr>
        <w:t>mean</w:t>
      </w:r>
      <w:r w:rsidRPr="006D5B3C">
        <w:rPr>
          <w:rFonts w:ascii="Calibri" w:hAnsi="Calibri" w:cs="Calibri"/>
        </w:rPr>
        <w:t xml:space="preserve"> high income and willingness to pay for quality.</w:t>
      </w:r>
    </w:p>
    <w:p w14:paraId="1A765A24" w14:textId="77777777" w:rsidR="006D5B3C" w:rsidRPr="006D5B3C" w:rsidRDefault="006D5B3C" w:rsidP="006D5B3C">
      <w:pPr>
        <w:suppressAutoHyphens/>
        <w:spacing w:after="0" w:line="240" w:lineRule="auto"/>
        <w:contextualSpacing/>
        <w:rPr>
          <w:rFonts w:ascii="Calibri" w:hAnsi="Calibri" w:cs="Calibri"/>
        </w:rPr>
      </w:pPr>
      <w:r w:rsidRPr="006D5B3C">
        <w:rPr>
          <w:rFonts w:ascii="Calibri" w:hAnsi="Calibri" w:cs="Calibri"/>
        </w:rPr>
        <w:t>Mexico has easy access to North American markets but low to moderate incomes.</w:t>
      </w:r>
    </w:p>
    <w:p w14:paraId="496CE108" w14:textId="5D643727" w:rsidR="006D5B3C" w:rsidRPr="006D5B3C" w:rsidRDefault="006D5B3C" w:rsidP="006D5B3C">
      <w:pPr>
        <w:suppressAutoHyphens/>
        <w:spacing w:after="0" w:line="240" w:lineRule="auto"/>
        <w:contextualSpacing/>
        <w:rPr>
          <w:rFonts w:ascii="Calibri" w:hAnsi="Calibri" w:cs="Calibri"/>
        </w:rPr>
      </w:pPr>
      <w:r w:rsidRPr="006D5B3C">
        <w:rPr>
          <w:rFonts w:ascii="Calibri" w:hAnsi="Calibri" w:cs="Calibri"/>
        </w:rPr>
        <w:t xml:space="preserve">India has a high GDP (market potential) but </w:t>
      </w:r>
      <w:r w:rsidR="00350F79">
        <w:rPr>
          <w:rFonts w:ascii="Calibri" w:hAnsi="Calibri" w:cs="Calibri"/>
        </w:rPr>
        <w:t xml:space="preserve">a </w:t>
      </w:r>
      <w:r w:rsidRPr="006D5B3C">
        <w:rPr>
          <w:rFonts w:ascii="Calibri" w:hAnsi="Calibri" w:cs="Calibri"/>
        </w:rPr>
        <w:t>lower PPP.</w:t>
      </w:r>
    </w:p>
    <w:p w14:paraId="439C1E05" w14:textId="2FCCB733" w:rsidR="006D5B3C" w:rsidRDefault="006D5B3C" w:rsidP="006D5B3C">
      <w:pPr>
        <w:suppressAutoHyphens/>
        <w:spacing w:after="0" w:line="240" w:lineRule="auto"/>
        <w:contextualSpacing/>
        <w:rPr>
          <w:rFonts w:ascii="Calibri" w:hAnsi="Calibri" w:cs="Calibri"/>
        </w:rPr>
      </w:pPr>
      <w:r w:rsidRPr="006D5B3C">
        <w:rPr>
          <w:rFonts w:ascii="Calibri" w:hAnsi="Calibri" w:cs="Calibri"/>
        </w:rPr>
        <w:t>Economic instability is suggested by higher interest</w:t>
      </w:r>
      <w:r w:rsidR="00350F79">
        <w:rPr>
          <w:rFonts w:ascii="Calibri" w:hAnsi="Calibri" w:cs="Calibri"/>
        </w:rPr>
        <w:t xml:space="preserve"> rates</w:t>
      </w:r>
      <w:r w:rsidRPr="006D5B3C">
        <w:rPr>
          <w:rFonts w:ascii="Calibri" w:hAnsi="Calibri" w:cs="Calibri"/>
        </w:rPr>
        <w:t>/inflation (Mexico, India).</w:t>
      </w:r>
    </w:p>
    <w:p w14:paraId="3C777429" w14:textId="77777777" w:rsidR="006D5B3C" w:rsidRPr="00267DB5" w:rsidRDefault="006D5B3C" w:rsidP="006D5B3C">
      <w:pPr>
        <w:suppressAutoHyphens/>
        <w:spacing w:after="0" w:line="240" w:lineRule="auto"/>
        <w:contextualSpacing/>
        <w:rPr>
          <w:rFonts w:ascii="Calibri" w:hAnsi="Calibri" w:cs="Calibri"/>
        </w:rPr>
      </w:pPr>
    </w:p>
    <w:p w14:paraId="715E8B77" w14:textId="5A51B084" w:rsidR="00BA5C74" w:rsidRPr="00267DB5" w:rsidRDefault="003874A6" w:rsidP="00130CDC">
      <w:pPr>
        <w:pStyle w:val="Heading2"/>
      </w:pPr>
      <w:r w:rsidRPr="00267DB5">
        <w:t>Section Three</w:t>
      </w:r>
      <w:r w:rsidR="1CB30F06" w:rsidRPr="00267DB5">
        <w:t>: Ranking and Rationale</w:t>
      </w:r>
    </w:p>
    <w:p w14:paraId="03FA5ACA" w14:textId="77777777" w:rsidR="006D5B3C" w:rsidRPr="006D5B3C" w:rsidRDefault="006D5B3C" w:rsidP="006D5B3C">
      <w:pPr>
        <w:suppressAutoHyphens/>
        <w:spacing w:after="0" w:line="240" w:lineRule="auto"/>
        <w:contextualSpacing/>
        <w:rPr>
          <w:rFonts w:ascii="Calibri" w:hAnsi="Calibri" w:cs="Calibri"/>
        </w:rPr>
      </w:pPr>
    </w:p>
    <w:p w14:paraId="1BA3240D" w14:textId="51DD2169" w:rsidR="00904315" w:rsidRPr="00904315" w:rsidRDefault="00904315" w:rsidP="00904315">
      <w:pPr>
        <w:suppressAutoHyphens/>
        <w:spacing w:after="0" w:line="240" w:lineRule="auto"/>
        <w:contextualSpacing/>
        <w:rPr>
          <w:rFonts w:ascii="Calibri" w:hAnsi="Calibri" w:cs="Calibri"/>
        </w:rPr>
      </w:pPr>
      <w:r w:rsidRPr="00904315">
        <w:rPr>
          <w:rFonts w:ascii="Calibri" w:hAnsi="Calibri" w:cs="Calibri"/>
        </w:rPr>
        <w:t xml:space="preserve">Germany is well-positioned to support comfort and professions, thanks to its </w:t>
      </w:r>
      <w:r w:rsidR="00743D82">
        <w:rPr>
          <w:rFonts w:ascii="Calibri" w:hAnsi="Calibri" w:cs="Calibri"/>
        </w:rPr>
        <w:t>robust economy</w:t>
      </w:r>
      <w:r w:rsidRPr="00904315">
        <w:rPr>
          <w:rFonts w:ascii="Calibri" w:hAnsi="Calibri" w:cs="Calibri"/>
        </w:rPr>
        <w:t xml:space="preserve">, </w:t>
      </w:r>
      <w:r w:rsidR="00743D82">
        <w:rPr>
          <w:rFonts w:ascii="Calibri" w:hAnsi="Calibri" w:cs="Calibri"/>
        </w:rPr>
        <w:t>high buying power</w:t>
      </w:r>
      <w:r w:rsidRPr="00904315">
        <w:rPr>
          <w:rFonts w:ascii="Calibri" w:hAnsi="Calibri" w:cs="Calibri"/>
        </w:rPr>
        <w:t xml:space="preserve">, </w:t>
      </w:r>
      <w:r w:rsidR="00743D82">
        <w:rPr>
          <w:rFonts w:ascii="Calibri" w:hAnsi="Calibri" w:cs="Calibri"/>
        </w:rPr>
        <w:t>low inflation rate,</w:t>
      </w:r>
      <w:r w:rsidRPr="00904315">
        <w:rPr>
          <w:rFonts w:ascii="Calibri" w:hAnsi="Calibri" w:cs="Calibri"/>
        </w:rPr>
        <w:t xml:space="preserve"> and </w:t>
      </w:r>
      <w:r w:rsidR="00743D82">
        <w:rPr>
          <w:rFonts w:ascii="Calibri" w:hAnsi="Calibri" w:cs="Calibri"/>
        </w:rPr>
        <w:t>stable political structure</w:t>
      </w:r>
      <w:r w:rsidRPr="00904315">
        <w:rPr>
          <w:rFonts w:ascii="Calibri" w:hAnsi="Calibri" w:cs="Calibri"/>
        </w:rPr>
        <w:t xml:space="preserve">. Mexico is moderately strong regarding economic growth rate and trade </w:t>
      </w:r>
      <w:r w:rsidR="00743D82">
        <w:rPr>
          <w:rFonts w:ascii="Calibri" w:hAnsi="Calibri" w:cs="Calibri"/>
        </w:rPr>
        <w:t>agreement</w:t>
      </w:r>
      <w:r w:rsidRPr="00904315">
        <w:rPr>
          <w:rFonts w:ascii="Calibri" w:hAnsi="Calibri" w:cs="Calibri"/>
        </w:rPr>
        <w:t xml:space="preserve"> (USMCA); it may require some trade adjustments to make it easier for consumers to afford luxury wearables. India is not a good fit for high-end luxury wearables due to the large population and lower consumer buying ability (economic uncertainty) common in developing economies.</w:t>
      </w:r>
    </w:p>
    <w:p w14:paraId="5CAAD0D3" w14:textId="77777777" w:rsidR="00904315" w:rsidRPr="00904315" w:rsidRDefault="00904315" w:rsidP="00904315">
      <w:pPr>
        <w:suppressAutoHyphens/>
        <w:spacing w:after="0" w:line="240" w:lineRule="auto"/>
        <w:contextualSpacing/>
        <w:rPr>
          <w:rFonts w:ascii="Calibri" w:hAnsi="Calibri" w:cs="Calibri"/>
        </w:rPr>
      </w:pPr>
    </w:p>
    <w:p w14:paraId="618DDF2A" w14:textId="123DFF89" w:rsidR="00904315" w:rsidRDefault="00904315" w:rsidP="00904315">
      <w:pPr>
        <w:suppressAutoHyphens/>
        <w:spacing w:after="0" w:line="240" w:lineRule="auto"/>
        <w:contextualSpacing/>
        <w:rPr>
          <w:rFonts w:ascii="Calibri" w:hAnsi="Calibri" w:cs="Calibri"/>
        </w:rPr>
      </w:pPr>
      <w:r w:rsidRPr="00904315">
        <w:rPr>
          <w:rFonts w:ascii="Calibri" w:hAnsi="Calibri" w:cs="Calibri"/>
        </w:rPr>
        <w:t>So, if I had to rank these three countries for where to start up and operate a business around wearable luxury products, I'd rank them as follows: 1) Germany</w:t>
      </w:r>
      <w:r w:rsidR="00743D82">
        <w:rPr>
          <w:rFonts w:ascii="Calibri" w:hAnsi="Calibri" w:cs="Calibri"/>
        </w:rPr>
        <w:t>,</w:t>
      </w:r>
      <w:r w:rsidRPr="00904315">
        <w:rPr>
          <w:rFonts w:ascii="Calibri" w:hAnsi="Calibri" w:cs="Calibri"/>
        </w:rPr>
        <w:t xml:space="preserve"> 2) Mexico</w:t>
      </w:r>
      <w:r w:rsidR="00743D82">
        <w:rPr>
          <w:rFonts w:ascii="Calibri" w:hAnsi="Calibri" w:cs="Calibri"/>
        </w:rPr>
        <w:t>,</w:t>
      </w:r>
      <w:r w:rsidRPr="00904315">
        <w:rPr>
          <w:rFonts w:ascii="Calibri" w:hAnsi="Calibri" w:cs="Calibri"/>
        </w:rPr>
        <w:t xml:space="preserve"> 3) India.</w:t>
      </w:r>
    </w:p>
    <w:p w14:paraId="7274B7F6" w14:textId="77777777" w:rsidR="00904315" w:rsidRDefault="00904315">
      <w:pPr>
        <w:rPr>
          <w:rFonts w:ascii="Calibri" w:hAnsi="Calibri" w:cs="Calibri"/>
        </w:rPr>
      </w:pPr>
      <w:r>
        <w:rPr>
          <w:rFonts w:ascii="Calibri" w:hAnsi="Calibri" w:cs="Calibri"/>
        </w:rPr>
        <w:br w:type="page"/>
      </w:r>
    </w:p>
    <w:p w14:paraId="470A53D5" w14:textId="77777777" w:rsidR="00130CDC" w:rsidRPr="00267DB5" w:rsidRDefault="00130CDC" w:rsidP="00904315">
      <w:pPr>
        <w:suppressAutoHyphens/>
        <w:spacing w:after="0" w:line="240" w:lineRule="auto"/>
        <w:contextualSpacing/>
        <w:rPr>
          <w:rFonts w:ascii="Calibri" w:hAnsi="Calibri" w:cs="Calibri"/>
        </w:rPr>
      </w:pPr>
    </w:p>
    <w:p w14:paraId="071E4E01" w14:textId="77777777" w:rsidR="00754C0B" w:rsidRPr="00267DB5" w:rsidRDefault="00754C0B" w:rsidP="00130CDC">
      <w:pPr>
        <w:pStyle w:val="Heading2"/>
        <w:jc w:val="center"/>
      </w:pPr>
      <w:r w:rsidRPr="00267DB5">
        <w:t>References</w:t>
      </w:r>
    </w:p>
    <w:p w14:paraId="6B8DDB63" w14:textId="77777777" w:rsidR="00E31A75" w:rsidRPr="00267DB5" w:rsidRDefault="00E31A75" w:rsidP="00130CDC">
      <w:pPr>
        <w:suppressAutoHyphens/>
        <w:spacing w:after="0" w:line="240" w:lineRule="auto"/>
        <w:contextualSpacing/>
      </w:pPr>
    </w:p>
    <w:p w14:paraId="15DD26C4" w14:textId="391AF271" w:rsidR="006D5B3C" w:rsidRDefault="006D5B3C" w:rsidP="006D5B3C">
      <w:pPr>
        <w:pStyle w:val="NormalWeb"/>
      </w:pPr>
      <w:r>
        <w:t xml:space="preserve">International Monetary Fund. (2024). </w:t>
      </w:r>
      <w:r>
        <w:rPr>
          <w:rStyle w:val="Emphasis"/>
          <w:rFonts w:eastAsiaTheme="majorEastAsia"/>
        </w:rPr>
        <w:t xml:space="preserve">World </w:t>
      </w:r>
      <w:r w:rsidR="00350F79">
        <w:rPr>
          <w:rStyle w:val="Emphasis"/>
          <w:rFonts w:eastAsiaTheme="majorEastAsia"/>
        </w:rPr>
        <w:t>Economic Outlook Database</w:t>
      </w:r>
      <w:r>
        <w:t xml:space="preserve">. </w:t>
      </w:r>
      <w:hyperlink r:id="rId10" w:tgtFrame="_new" w:history="1">
        <w:r>
          <w:rPr>
            <w:rStyle w:val="Hyperlink"/>
          </w:rPr>
          <w:t>https://www.imf.org</w:t>
        </w:r>
      </w:hyperlink>
    </w:p>
    <w:p w14:paraId="6024DAFC" w14:textId="77777777" w:rsidR="006D5B3C" w:rsidRDefault="006D5B3C" w:rsidP="006D5B3C">
      <w:pPr>
        <w:pStyle w:val="NormalWeb"/>
      </w:pPr>
      <w:r>
        <w:t xml:space="preserve">World Bank. (2024). </w:t>
      </w:r>
      <w:r>
        <w:rPr>
          <w:rStyle w:val="Emphasis"/>
          <w:rFonts w:eastAsiaTheme="majorEastAsia"/>
        </w:rPr>
        <w:t>World development indicators</w:t>
      </w:r>
      <w:r>
        <w:t xml:space="preserve">. </w:t>
      </w:r>
      <w:hyperlink r:id="rId11" w:tgtFrame="_new" w:history="1">
        <w:r>
          <w:rPr>
            <w:rStyle w:val="Hyperlink"/>
          </w:rPr>
          <w:t>https://data.worldbank.org</w:t>
        </w:r>
      </w:hyperlink>
    </w:p>
    <w:p w14:paraId="669B3AB2" w14:textId="039568AB" w:rsidR="00BA5C74" w:rsidRPr="00267DB5" w:rsidRDefault="00BA5C74" w:rsidP="006D5B3C">
      <w:pPr>
        <w:suppressAutoHyphens/>
        <w:spacing w:after="0" w:line="240" w:lineRule="auto"/>
        <w:ind w:left="720" w:hanging="720"/>
        <w:contextualSpacing/>
        <w:rPr>
          <w:rFonts w:ascii="Calibri" w:hAnsi="Calibri" w:cs="Calibri"/>
        </w:rPr>
      </w:pPr>
    </w:p>
    <w:sectPr w:rsidR="00BA5C74" w:rsidRPr="00267DB5" w:rsidSect="00D6631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6AF7" w14:textId="77777777" w:rsidR="00A81DBB" w:rsidRDefault="00A81DBB" w:rsidP="003874A6">
      <w:pPr>
        <w:spacing w:after="0" w:line="240" w:lineRule="auto"/>
      </w:pPr>
      <w:r>
        <w:separator/>
      </w:r>
    </w:p>
  </w:endnote>
  <w:endnote w:type="continuationSeparator" w:id="0">
    <w:p w14:paraId="6F3E1366" w14:textId="77777777" w:rsidR="00A81DBB" w:rsidRDefault="00A81DBB" w:rsidP="0038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E7D3" w14:textId="77777777" w:rsidR="00A81DBB" w:rsidRDefault="00A81DBB" w:rsidP="003874A6">
      <w:pPr>
        <w:spacing w:after="0" w:line="240" w:lineRule="auto"/>
      </w:pPr>
      <w:r>
        <w:separator/>
      </w:r>
    </w:p>
  </w:footnote>
  <w:footnote w:type="continuationSeparator" w:id="0">
    <w:p w14:paraId="6F834D37" w14:textId="77777777" w:rsidR="00A81DBB" w:rsidRDefault="00A81DBB" w:rsidP="00387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76DC510F" w:rsidR="003874A6" w:rsidRDefault="00F54A39" w:rsidP="004B53FB">
    <w:pPr>
      <w:pStyle w:val="Header"/>
      <w:tabs>
        <w:tab w:val="left" w:pos="2427"/>
      </w:tabs>
      <w:spacing w:after="200"/>
      <w:jc w:val="center"/>
    </w:pPr>
    <w:bookmarkStart w:id="0" w:name="_Hlk177636608"/>
    <w:bookmarkStart w:id="1" w:name="_Hlk177636609"/>
    <w:bookmarkStart w:id="2" w:name="_Hlk177637393"/>
    <w:bookmarkStart w:id="3" w:name="_Hlk177637394"/>
    <w:bookmarkStart w:id="4" w:name="_Hlk177638418"/>
    <w:bookmarkStart w:id="5" w:name="_Hlk177638419"/>
    <w:r w:rsidRPr="00085B81">
      <w:rPr>
        <w:noProof/>
      </w:rPr>
      <w:drawing>
        <wp:inline distT="0" distB="0" distL="0" distR="0" wp14:anchorId="52370F6E" wp14:editId="2557CD39">
          <wp:extent cx="1104900" cy="476250"/>
          <wp:effectExtent l="0" t="0" r="0" b="0"/>
          <wp:docPr id="1" name="Graphic 1" descr="SN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NHU logo"/>
                  <pic:cNvPicPr/>
                </pic:nvPicPr>
                <pic:blipFill>
                  <a:blip r:embed="rId1">
                    <a:extLst>
                      <a:ext uri="{96DAC541-7B7A-43D3-8B79-37D633B846F1}">
                        <asvg:svgBlip xmlns:asvg="http://schemas.microsoft.com/office/drawing/2016/SVG/main" r:embed="rId2"/>
                      </a:ext>
                    </a:extLst>
                  </a:blip>
                  <a:stretch>
                    <a:fillRect/>
                  </a:stretch>
                </pic:blipFill>
                <pic:spPr>
                  <a:xfrm>
                    <a:off x="0" y="0"/>
                    <a:ext cx="1104900" cy="476250"/>
                  </a:xfrm>
                  <a:prstGeom prst="rect">
                    <a:avLst/>
                  </a:prstGeom>
                </pic:spPr>
              </pic:pic>
            </a:graphicData>
          </a:graphic>
        </wp:inline>
      </w:drawing>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7575"/>
    <w:multiLevelType w:val="multilevel"/>
    <w:tmpl w:val="B71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4F4D5"/>
    <w:multiLevelType w:val="hybridMultilevel"/>
    <w:tmpl w:val="86DC2716"/>
    <w:lvl w:ilvl="0" w:tplc="03E6E508">
      <w:start w:val="1"/>
      <w:numFmt w:val="bullet"/>
      <w:lvlText w:val=""/>
      <w:lvlJc w:val="left"/>
      <w:pPr>
        <w:ind w:left="720" w:hanging="360"/>
      </w:pPr>
      <w:rPr>
        <w:rFonts w:ascii="Symbol" w:hAnsi="Symbol" w:hint="default"/>
      </w:rPr>
    </w:lvl>
    <w:lvl w:ilvl="1" w:tplc="14CC1BA2">
      <w:start w:val="1"/>
      <w:numFmt w:val="bullet"/>
      <w:lvlText w:val="o"/>
      <w:lvlJc w:val="left"/>
      <w:pPr>
        <w:ind w:left="1440" w:hanging="360"/>
      </w:pPr>
      <w:rPr>
        <w:rFonts w:ascii="Courier New" w:hAnsi="Courier New" w:hint="default"/>
      </w:rPr>
    </w:lvl>
    <w:lvl w:ilvl="2" w:tplc="9006C9A0">
      <w:start w:val="1"/>
      <w:numFmt w:val="bullet"/>
      <w:lvlText w:val=""/>
      <w:lvlJc w:val="left"/>
      <w:pPr>
        <w:ind w:left="2160" w:hanging="360"/>
      </w:pPr>
      <w:rPr>
        <w:rFonts w:ascii="Wingdings" w:hAnsi="Wingdings" w:hint="default"/>
      </w:rPr>
    </w:lvl>
    <w:lvl w:ilvl="3" w:tplc="71E4BEF2">
      <w:start w:val="1"/>
      <w:numFmt w:val="bullet"/>
      <w:lvlText w:val=""/>
      <w:lvlJc w:val="left"/>
      <w:pPr>
        <w:ind w:left="2880" w:hanging="360"/>
      </w:pPr>
      <w:rPr>
        <w:rFonts w:ascii="Symbol" w:hAnsi="Symbol" w:hint="default"/>
      </w:rPr>
    </w:lvl>
    <w:lvl w:ilvl="4" w:tplc="D1761B8E">
      <w:start w:val="1"/>
      <w:numFmt w:val="bullet"/>
      <w:lvlText w:val="o"/>
      <w:lvlJc w:val="left"/>
      <w:pPr>
        <w:ind w:left="3600" w:hanging="360"/>
      </w:pPr>
      <w:rPr>
        <w:rFonts w:ascii="Courier New" w:hAnsi="Courier New" w:hint="default"/>
      </w:rPr>
    </w:lvl>
    <w:lvl w:ilvl="5" w:tplc="8C74E97E">
      <w:start w:val="1"/>
      <w:numFmt w:val="bullet"/>
      <w:lvlText w:val=""/>
      <w:lvlJc w:val="left"/>
      <w:pPr>
        <w:ind w:left="4320" w:hanging="360"/>
      </w:pPr>
      <w:rPr>
        <w:rFonts w:ascii="Wingdings" w:hAnsi="Wingdings" w:hint="default"/>
      </w:rPr>
    </w:lvl>
    <w:lvl w:ilvl="6" w:tplc="31FA9F94">
      <w:start w:val="1"/>
      <w:numFmt w:val="bullet"/>
      <w:lvlText w:val=""/>
      <w:lvlJc w:val="left"/>
      <w:pPr>
        <w:ind w:left="5040" w:hanging="360"/>
      </w:pPr>
      <w:rPr>
        <w:rFonts w:ascii="Symbol" w:hAnsi="Symbol" w:hint="default"/>
      </w:rPr>
    </w:lvl>
    <w:lvl w:ilvl="7" w:tplc="5C548DFA">
      <w:start w:val="1"/>
      <w:numFmt w:val="bullet"/>
      <w:lvlText w:val="o"/>
      <w:lvlJc w:val="left"/>
      <w:pPr>
        <w:ind w:left="5760" w:hanging="360"/>
      </w:pPr>
      <w:rPr>
        <w:rFonts w:ascii="Courier New" w:hAnsi="Courier New" w:hint="default"/>
      </w:rPr>
    </w:lvl>
    <w:lvl w:ilvl="8" w:tplc="4C1411CE">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1NjOxtLSwMDc1MzBQ0lEKTi0uzszPAykwqgUATZttDCwAAAA="/>
  </w:docVars>
  <w:rsids>
    <w:rsidRoot w:val="00BA5C74"/>
    <w:rsid w:val="00002C84"/>
    <w:rsid w:val="00021FDB"/>
    <w:rsid w:val="00030C32"/>
    <w:rsid w:val="00061EAF"/>
    <w:rsid w:val="00065707"/>
    <w:rsid w:val="000934E0"/>
    <w:rsid w:val="000C745C"/>
    <w:rsid w:val="00101B71"/>
    <w:rsid w:val="00107627"/>
    <w:rsid w:val="00123F10"/>
    <w:rsid w:val="001252C7"/>
    <w:rsid w:val="0012705B"/>
    <w:rsid w:val="00130CDC"/>
    <w:rsid w:val="001956F4"/>
    <w:rsid w:val="001978EE"/>
    <w:rsid w:val="001A4205"/>
    <w:rsid w:val="001C4091"/>
    <w:rsid w:val="002018FD"/>
    <w:rsid w:val="00210B5B"/>
    <w:rsid w:val="002364D9"/>
    <w:rsid w:val="002421CE"/>
    <w:rsid w:val="00267DB5"/>
    <w:rsid w:val="00271CD2"/>
    <w:rsid w:val="00276165"/>
    <w:rsid w:val="00283DB3"/>
    <w:rsid w:val="002A5146"/>
    <w:rsid w:val="002C2B4C"/>
    <w:rsid w:val="002C5229"/>
    <w:rsid w:val="00311269"/>
    <w:rsid w:val="003363E1"/>
    <w:rsid w:val="00350F79"/>
    <w:rsid w:val="0036488C"/>
    <w:rsid w:val="0036675F"/>
    <w:rsid w:val="003874A6"/>
    <w:rsid w:val="003B5E28"/>
    <w:rsid w:val="003C0FA7"/>
    <w:rsid w:val="003C5DD3"/>
    <w:rsid w:val="003D7FCE"/>
    <w:rsid w:val="003E45D7"/>
    <w:rsid w:val="00405340"/>
    <w:rsid w:val="004413A7"/>
    <w:rsid w:val="004458F5"/>
    <w:rsid w:val="004544FD"/>
    <w:rsid w:val="00496557"/>
    <w:rsid w:val="004B53FB"/>
    <w:rsid w:val="004C09B9"/>
    <w:rsid w:val="00506CF4"/>
    <w:rsid w:val="005224FD"/>
    <w:rsid w:val="00582A61"/>
    <w:rsid w:val="005A1DE5"/>
    <w:rsid w:val="005E69C8"/>
    <w:rsid w:val="0060187C"/>
    <w:rsid w:val="00614D32"/>
    <w:rsid w:val="0065556F"/>
    <w:rsid w:val="00685314"/>
    <w:rsid w:val="006D5B3C"/>
    <w:rsid w:val="00731CDB"/>
    <w:rsid w:val="00742442"/>
    <w:rsid w:val="00743D82"/>
    <w:rsid w:val="00754C0B"/>
    <w:rsid w:val="00757886"/>
    <w:rsid w:val="00770C1E"/>
    <w:rsid w:val="00773240"/>
    <w:rsid w:val="007935D5"/>
    <w:rsid w:val="0079674F"/>
    <w:rsid w:val="007A782E"/>
    <w:rsid w:val="007C1C13"/>
    <w:rsid w:val="007F2B0E"/>
    <w:rsid w:val="00851BE8"/>
    <w:rsid w:val="008928E5"/>
    <w:rsid w:val="0089632B"/>
    <w:rsid w:val="008D1D19"/>
    <w:rsid w:val="008F02D6"/>
    <w:rsid w:val="008F57E2"/>
    <w:rsid w:val="00902E29"/>
    <w:rsid w:val="00904315"/>
    <w:rsid w:val="009236DA"/>
    <w:rsid w:val="00951A3D"/>
    <w:rsid w:val="0096776E"/>
    <w:rsid w:val="009B6FBE"/>
    <w:rsid w:val="00A121B6"/>
    <w:rsid w:val="00A1223D"/>
    <w:rsid w:val="00A13BC1"/>
    <w:rsid w:val="00A418B3"/>
    <w:rsid w:val="00A76937"/>
    <w:rsid w:val="00A81DBB"/>
    <w:rsid w:val="00AF2AE4"/>
    <w:rsid w:val="00B00DFF"/>
    <w:rsid w:val="00B103D0"/>
    <w:rsid w:val="00B34430"/>
    <w:rsid w:val="00BA38A6"/>
    <w:rsid w:val="00BA5C74"/>
    <w:rsid w:val="00BA75A2"/>
    <w:rsid w:val="00BC09EA"/>
    <w:rsid w:val="00BC0F1B"/>
    <w:rsid w:val="00C03695"/>
    <w:rsid w:val="00C125AF"/>
    <w:rsid w:val="00C372ED"/>
    <w:rsid w:val="00C520E5"/>
    <w:rsid w:val="00C54C95"/>
    <w:rsid w:val="00C64E80"/>
    <w:rsid w:val="00C90033"/>
    <w:rsid w:val="00CA7566"/>
    <w:rsid w:val="00CD4100"/>
    <w:rsid w:val="00D00BB0"/>
    <w:rsid w:val="00D10438"/>
    <w:rsid w:val="00D16A41"/>
    <w:rsid w:val="00D4185C"/>
    <w:rsid w:val="00D66312"/>
    <w:rsid w:val="00DB0BE6"/>
    <w:rsid w:val="00DC0E5E"/>
    <w:rsid w:val="00DD4366"/>
    <w:rsid w:val="00DD4C1B"/>
    <w:rsid w:val="00DF4652"/>
    <w:rsid w:val="00E03535"/>
    <w:rsid w:val="00E13F78"/>
    <w:rsid w:val="00E31A75"/>
    <w:rsid w:val="00E50E4B"/>
    <w:rsid w:val="00E54E3D"/>
    <w:rsid w:val="00E8654B"/>
    <w:rsid w:val="00E86A3F"/>
    <w:rsid w:val="00EB4E2B"/>
    <w:rsid w:val="00EB5134"/>
    <w:rsid w:val="00EC1EBD"/>
    <w:rsid w:val="00EC2FF7"/>
    <w:rsid w:val="00ED65DA"/>
    <w:rsid w:val="00F07867"/>
    <w:rsid w:val="00F10DBD"/>
    <w:rsid w:val="00F15025"/>
    <w:rsid w:val="00F213F6"/>
    <w:rsid w:val="00F3472E"/>
    <w:rsid w:val="00F52473"/>
    <w:rsid w:val="00F54A39"/>
    <w:rsid w:val="00FB00EB"/>
    <w:rsid w:val="00FB3CCC"/>
    <w:rsid w:val="00FF5D98"/>
    <w:rsid w:val="029633E2"/>
    <w:rsid w:val="06DED183"/>
    <w:rsid w:val="073BF0B0"/>
    <w:rsid w:val="0ACDB610"/>
    <w:rsid w:val="0C7D2E96"/>
    <w:rsid w:val="110B13F1"/>
    <w:rsid w:val="147D00BC"/>
    <w:rsid w:val="1B2CBB5E"/>
    <w:rsid w:val="1CB30F06"/>
    <w:rsid w:val="21E53902"/>
    <w:rsid w:val="25E458F7"/>
    <w:rsid w:val="27176583"/>
    <w:rsid w:val="2BD4874F"/>
    <w:rsid w:val="2BFD113B"/>
    <w:rsid w:val="2CB2C867"/>
    <w:rsid w:val="2D173C81"/>
    <w:rsid w:val="316A995D"/>
    <w:rsid w:val="374D86F9"/>
    <w:rsid w:val="37B874E1"/>
    <w:rsid w:val="38014C7C"/>
    <w:rsid w:val="38BCBCE8"/>
    <w:rsid w:val="3D7AC0FE"/>
    <w:rsid w:val="3DAB59C5"/>
    <w:rsid w:val="400C4EA7"/>
    <w:rsid w:val="4061623E"/>
    <w:rsid w:val="4184DAEA"/>
    <w:rsid w:val="41F63D51"/>
    <w:rsid w:val="4250031B"/>
    <w:rsid w:val="4A98B956"/>
    <w:rsid w:val="55EA9110"/>
    <w:rsid w:val="571263A9"/>
    <w:rsid w:val="5716A7DA"/>
    <w:rsid w:val="573C4CBA"/>
    <w:rsid w:val="5A8BFDD8"/>
    <w:rsid w:val="5BD84061"/>
    <w:rsid w:val="5DE7FC78"/>
    <w:rsid w:val="5FB30063"/>
    <w:rsid w:val="625AA77A"/>
    <w:rsid w:val="64547DB5"/>
    <w:rsid w:val="656B4D4E"/>
    <w:rsid w:val="666EB120"/>
    <w:rsid w:val="670E98C4"/>
    <w:rsid w:val="6A8DAB40"/>
    <w:rsid w:val="6FAC0704"/>
    <w:rsid w:val="70F329E9"/>
    <w:rsid w:val="761CA6A1"/>
    <w:rsid w:val="7943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9F20A"/>
  <w15:chartTrackingRefBased/>
  <w15:docId w15:val="{7E2857CB-1231-45E3-BEE2-1AB4B033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9B9"/>
  </w:style>
  <w:style w:type="paragraph" w:styleId="Heading1">
    <w:name w:val="heading 1"/>
    <w:basedOn w:val="Normal"/>
    <w:link w:val="Heading1Char"/>
    <w:uiPriority w:val="9"/>
    <w:qFormat/>
    <w:rsid w:val="00130CDC"/>
    <w:pPr>
      <w:suppressAutoHyphens/>
      <w:spacing w:after="0" w:line="240" w:lineRule="auto"/>
      <w:contextualSpacing/>
      <w:jc w:val="center"/>
      <w:outlineLvl w:val="0"/>
    </w:pPr>
    <w:rPr>
      <w:rFonts w:ascii="Calibri" w:eastAsia="Times New Roman" w:hAnsi="Calibri" w:cs="Calibri"/>
      <w:b/>
      <w:bCs/>
      <w:color w:val="000000"/>
      <w:kern w:val="36"/>
      <w:sz w:val="24"/>
      <w:szCs w:val="24"/>
      <w:shd w:val="clear" w:color="auto" w:fill="FFFFFF"/>
    </w:rPr>
  </w:style>
  <w:style w:type="paragraph" w:styleId="Heading2">
    <w:name w:val="heading 2"/>
    <w:basedOn w:val="Normal"/>
    <w:next w:val="Normal"/>
    <w:link w:val="Heading2Char"/>
    <w:unhideWhenUsed/>
    <w:qFormat/>
    <w:rsid w:val="00130CDC"/>
    <w:pPr>
      <w:suppressAutoHyphens/>
      <w:spacing w:after="0" w:line="240" w:lineRule="auto"/>
      <w:contextualSpacing/>
      <w:outlineLvl w:val="1"/>
    </w:pPr>
    <w:rPr>
      <w:rFonts w:ascii="Calibri" w:eastAsia="Calibri" w:hAnsi="Calibri" w:cs="Calibri"/>
      <w:b/>
    </w:rPr>
  </w:style>
  <w:style w:type="paragraph" w:styleId="Heading3">
    <w:name w:val="heading 3"/>
    <w:basedOn w:val="Normal"/>
    <w:next w:val="Normal"/>
    <w:link w:val="Heading3Char"/>
    <w:uiPriority w:val="9"/>
    <w:unhideWhenUsed/>
    <w:qFormat/>
    <w:rsid w:val="00123F10"/>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CDC"/>
    <w:rPr>
      <w:rFonts w:ascii="Calibri" w:eastAsia="Times New Roman" w:hAnsi="Calibri" w:cs="Calibri"/>
      <w:b/>
      <w:bCs/>
      <w:color w:val="000000"/>
      <w:kern w:val="36"/>
      <w:sz w:val="24"/>
      <w:szCs w:val="24"/>
    </w:rPr>
  </w:style>
  <w:style w:type="character" w:customStyle="1" w:styleId="Heading2Char">
    <w:name w:val="Heading 2 Char"/>
    <w:basedOn w:val="DefaultParagraphFont"/>
    <w:link w:val="Heading2"/>
    <w:rsid w:val="00130CDC"/>
    <w:rPr>
      <w:rFonts w:ascii="Calibri" w:eastAsia="Calibri" w:hAnsi="Calibri" w:cs="Calibri"/>
      <w:b/>
    </w:rPr>
  </w:style>
  <w:style w:type="character" w:customStyle="1" w:styleId="Heading3Char">
    <w:name w:val="Heading 3 Char"/>
    <w:basedOn w:val="DefaultParagraphFont"/>
    <w:link w:val="Heading3"/>
    <w:uiPriority w:val="9"/>
    <w:rsid w:val="00123F10"/>
    <w:rPr>
      <w:rFonts w:eastAsiaTheme="majorEastAsia" w:cstheme="majorBidi"/>
      <w:b/>
      <w:szCs w:val="24"/>
    </w:rPr>
  </w:style>
  <w:style w:type="table" w:styleId="TableGrid">
    <w:name w:val="Table Grid"/>
    <w:basedOn w:val="TableNormal"/>
    <w:uiPriority w:val="39"/>
    <w:rsid w:val="00BA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4A6"/>
  </w:style>
  <w:style w:type="paragraph" w:styleId="Footer">
    <w:name w:val="footer"/>
    <w:basedOn w:val="Normal"/>
    <w:link w:val="FooterChar"/>
    <w:uiPriority w:val="99"/>
    <w:unhideWhenUsed/>
    <w:rsid w:val="00387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4A6"/>
  </w:style>
  <w:style w:type="character" w:styleId="CommentReference">
    <w:name w:val="annotation reference"/>
    <w:basedOn w:val="DefaultParagraphFont"/>
    <w:uiPriority w:val="99"/>
    <w:semiHidden/>
    <w:unhideWhenUsed/>
    <w:rsid w:val="00C372ED"/>
    <w:rPr>
      <w:sz w:val="16"/>
      <w:szCs w:val="16"/>
    </w:rPr>
  </w:style>
  <w:style w:type="paragraph" w:styleId="CommentText">
    <w:name w:val="annotation text"/>
    <w:basedOn w:val="Normal"/>
    <w:link w:val="CommentTextChar"/>
    <w:uiPriority w:val="99"/>
    <w:semiHidden/>
    <w:unhideWhenUsed/>
    <w:rsid w:val="00C372ED"/>
    <w:pPr>
      <w:spacing w:line="240" w:lineRule="auto"/>
    </w:pPr>
    <w:rPr>
      <w:sz w:val="20"/>
      <w:szCs w:val="20"/>
    </w:rPr>
  </w:style>
  <w:style w:type="character" w:customStyle="1" w:styleId="CommentTextChar">
    <w:name w:val="Comment Text Char"/>
    <w:basedOn w:val="DefaultParagraphFont"/>
    <w:link w:val="CommentText"/>
    <w:uiPriority w:val="99"/>
    <w:semiHidden/>
    <w:rsid w:val="00C372ED"/>
    <w:rPr>
      <w:sz w:val="20"/>
      <w:szCs w:val="20"/>
    </w:rPr>
  </w:style>
  <w:style w:type="paragraph" w:styleId="CommentSubject">
    <w:name w:val="annotation subject"/>
    <w:basedOn w:val="CommentText"/>
    <w:next w:val="CommentText"/>
    <w:link w:val="CommentSubjectChar"/>
    <w:uiPriority w:val="99"/>
    <w:semiHidden/>
    <w:unhideWhenUsed/>
    <w:rsid w:val="00C372ED"/>
    <w:rPr>
      <w:b/>
      <w:bCs/>
    </w:rPr>
  </w:style>
  <w:style w:type="character" w:customStyle="1" w:styleId="CommentSubjectChar">
    <w:name w:val="Comment Subject Char"/>
    <w:basedOn w:val="CommentTextChar"/>
    <w:link w:val="CommentSubject"/>
    <w:uiPriority w:val="99"/>
    <w:semiHidden/>
    <w:rsid w:val="00C372ED"/>
    <w:rPr>
      <w:b/>
      <w:bCs/>
      <w:sz w:val="20"/>
      <w:szCs w:val="20"/>
    </w:rPr>
  </w:style>
  <w:style w:type="paragraph" w:styleId="BalloonText">
    <w:name w:val="Balloon Text"/>
    <w:basedOn w:val="Normal"/>
    <w:link w:val="BalloonTextChar"/>
    <w:uiPriority w:val="99"/>
    <w:semiHidden/>
    <w:unhideWhenUsed/>
    <w:rsid w:val="00C37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2ED"/>
    <w:rPr>
      <w:rFonts w:ascii="Segoe UI" w:hAnsi="Segoe UI" w:cs="Segoe UI"/>
      <w:sz w:val="18"/>
      <w:szCs w:val="18"/>
    </w:rPr>
  </w:style>
  <w:style w:type="paragraph" w:styleId="NormalWeb">
    <w:name w:val="Normal (Web)"/>
    <w:basedOn w:val="Normal"/>
    <w:uiPriority w:val="99"/>
    <w:semiHidden/>
    <w:unhideWhenUsed/>
    <w:rsid w:val="009677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5D98"/>
    <w:rPr>
      <w:color w:val="0563C1" w:themeColor="hyperlink"/>
      <w:u w:val="single"/>
    </w:rPr>
  </w:style>
  <w:style w:type="paragraph" w:styleId="Revision">
    <w:name w:val="Revision"/>
    <w:hidden/>
    <w:uiPriority w:val="99"/>
    <w:semiHidden/>
    <w:rsid w:val="004458F5"/>
    <w:pPr>
      <w:spacing w:after="0" w:line="240" w:lineRule="auto"/>
    </w:pPr>
  </w:style>
  <w:style w:type="character" w:styleId="Emphasis">
    <w:name w:val="Emphasis"/>
    <w:basedOn w:val="DefaultParagraphFont"/>
    <w:uiPriority w:val="20"/>
    <w:qFormat/>
    <w:rsid w:val="006D5B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163579">
      <w:bodyDiv w:val="1"/>
      <w:marLeft w:val="0"/>
      <w:marRight w:val="0"/>
      <w:marTop w:val="0"/>
      <w:marBottom w:val="0"/>
      <w:divBdr>
        <w:top w:val="none" w:sz="0" w:space="0" w:color="auto"/>
        <w:left w:val="none" w:sz="0" w:space="0" w:color="auto"/>
        <w:bottom w:val="none" w:sz="0" w:space="0" w:color="auto"/>
        <w:right w:val="none" w:sz="0" w:space="0" w:color="auto"/>
      </w:divBdr>
    </w:div>
    <w:div w:id="1623263420">
      <w:bodyDiv w:val="1"/>
      <w:marLeft w:val="0"/>
      <w:marRight w:val="0"/>
      <w:marTop w:val="0"/>
      <w:marBottom w:val="0"/>
      <w:divBdr>
        <w:top w:val="none" w:sz="0" w:space="0" w:color="auto"/>
        <w:left w:val="none" w:sz="0" w:space="0" w:color="auto"/>
        <w:bottom w:val="none" w:sz="0" w:space="0" w:color="auto"/>
        <w:right w:val="none" w:sz="0" w:space="0" w:color="auto"/>
      </w:divBdr>
    </w:div>
    <w:div w:id="1773164413">
      <w:bodyDiv w:val="1"/>
      <w:marLeft w:val="0"/>
      <w:marRight w:val="0"/>
      <w:marTop w:val="0"/>
      <w:marBottom w:val="0"/>
      <w:divBdr>
        <w:top w:val="none" w:sz="0" w:space="0" w:color="auto"/>
        <w:left w:val="none" w:sz="0" w:space="0" w:color="auto"/>
        <w:bottom w:val="none" w:sz="0" w:space="0" w:color="auto"/>
        <w:right w:val="none" w:sz="0" w:space="0" w:color="auto"/>
      </w:divBdr>
    </w:div>
    <w:div w:id="206721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worldbank.org" TargetMode="External"/><Relationship Id="rId5" Type="http://schemas.openxmlformats.org/officeDocument/2006/relationships/styles" Target="styles.xml"/><Relationship Id="rId10" Type="http://schemas.openxmlformats.org/officeDocument/2006/relationships/hyperlink" Target="https://www.im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716dd8a-49a0-4c40-b209-038e1651b548">
      <UserInfo>
        <DisplayName/>
        <AccountId xsi:nil="true"/>
        <AccountType/>
      </UserInfo>
    </SharedWithUsers>
    <Notes xmlns="ff8a4b2e-b0c8-4039-a689-d1a7f36f4382" xsi:nil="true"/>
    <lcf76f155ced4ddcb4097134ff3c332f xmlns="ff8a4b2e-b0c8-4039-a689-d1a7f36f4382">
      <Terms xmlns="http://schemas.microsoft.com/office/infopath/2007/PartnerControls"/>
    </lcf76f155ced4ddcb4097134ff3c332f>
    <TaxCatchAll xmlns="f716dd8a-49a0-4c40-b209-038e1651b5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24" ma:contentTypeDescription="Create a new document." ma:contentTypeScope="" ma:versionID="9a4c430cefa61dd52f0c8a815b0f8dce">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6a47a0179793e9b49e6f8091e3a8d852" ns2:_="" ns3:_="">
    <xsd:import namespace="ff8a4b2e-b0c8-4039-a689-d1a7f36f4382"/>
    <xsd:import namespace="f716dd8a-49a0-4c40-b209-038e1651b54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e3b6110-aa94-458c-b182-bd9b955b0bb5}" ma:internalName="TaxCatchAll" ma:readOnly="false" ma:showField="CatchAllData" ma:web="f716dd8a-49a0-4c40-b209-038e1651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2E3A1-260C-47EA-A717-0BD41D8CFB66}">
  <ds:schemaRefs>
    <ds:schemaRef ds:uri="http://schemas.microsoft.com/sharepoint/v3/contenttype/forms"/>
  </ds:schemaRefs>
</ds:datastoreItem>
</file>

<file path=customXml/itemProps2.xml><?xml version="1.0" encoding="utf-8"?>
<ds:datastoreItem xmlns:ds="http://schemas.openxmlformats.org/officeDocument/2006/customXml" ds:itemID="{B60DD82F-BE6A-4B67-B7EC-9FFD201E9D75}">
  <ds:schemaRefs>
    <ds:schemaRef ds:uri="http://schemas.microsoft.com/office/2006/metadata/properties"/>
    <ds:schemaRef ds:uri="http://schemas.microsoft.com/office/infopath/2007/PartnerControls"/>
    <ds:schemaRef ds:uri="f716dd8a-49a0-4c40-b209-038e1651b548"/>
    <ds:schemaRef ds:uri="ff8a4b2e-b0c8-4039-a689-d1a7f36f4382"/>
  </ds:schemaRefs>
</ds:datastoreItem>
</file>

<file path=customXml/itemProps3.xml><?xml version="1.0" encoding="utf-8"?>
<ds:datastoreItem xmlns:ds="http://schemas.openxmlformats.org/officeDocument/2006/customXml" ds:itemID="{54AB0AF1-F12C-4168-A5CF-187915BB9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SNHU</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Jennifer</dc:creator>
  <cp:keywords/>
  <dc:description/>
  <cp:lastModifiedBy>User</cp:lastModifiedBy>
  <cp:revision>6</cp:revision>
  <dcterms:created xsi:type="dcterms:W3CDTF">2026-04-24T17:32:00Z</dcterms:created>
  <dcterms:modified xsi:type="dcterms:W3CDTF">2026-04-24T18:40:00Z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0x0101003FC679AA94041F4BA4494D199A3447AF</vt:lpwstr>
  </property>
  <property fmtid="{D5CDD505-2E9C-101B-9397-08002B2CF9AE}" pid="3" name="Order">
    <vt:r8>7201700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y fmtid="{D5CDD505-2E9C-101B-9397-08002B2CF9AE}" pid="13" name="GrammarlyDocumentId">
    <vt:lpwstr>04b4da24c6ad62524c2f5c5fcb83adff92a46a0ba3a09315d6f409536fd9fe14</vt:lpwstr>
  </property>
</Properties>
</file>