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26354" w:rsidRDefault="00426354">
      <w:pPr>
        <w:spacing w:line="480" w:lineRule="auto"/>
        <w:ind w:firstLine="720"/>
        <w:jc w:val="center"/>
        <w:rPr>
          <w:rFonts w:ascii="Times New Roman" w:eastAsia="Times New Roman" w:hAnsi="Times New Roman" w:cs="Times New Roman"/>
          <w:b/>
          <w:bCs/>
          <w:sz w:val="24"/>
          <w:szCs w:val="24"/>
        </w:rPr>
      </w:pPr>
    </w:p>
    <w:p w14:paraId="00000002" w14:textId="77777777" w:rsidR="00426354" w:rsidRDefault="00426354">
      <w:pPr>
        <w:spacing w:line="480" w:lineRule="auto"/>
        <w:ind w:firstLine="720"/>
        <w:jc w:val="center"/>
        <w:rPr>
          <w:rFonts w:ascii="Times New Roman" w:eastAsia="Times New Roman" w:hAnsi="Times New Roman" w:cs="Times New Roman"/>
          <w:b/>
          <w:bCs/>
          <w:sz w:val="24"/>
          <w:szCs w:val="24"/>
        </w:rPr>
      </w:pPr>
    </w:p>
    <w:p w14:paraId="00000003" w14:textId="77777777" w:rsidR="00426354" w:rsidRDefault="00426354">
      <w:pPr>
        <w:spacing w:line="480" w:lineRule="auto"/>
        <w:ind w:firstLine="720"/>
        <w:jc w:val="center"/>
        <w:rPr>
          <w:rFonts w:ascii="Times New Roman" w:eastAsia="Times New Roman" w:hAnsi="Times New Roman" w:cs="Times New Roman"/>
          <w:b/>
          <w:bCs/>
          <w:sz w:val="24"/>
          <w:szCs w:val="24"/>
        </w:rPr>
      </w:pPr>
    </w:p>
    <w:p w14:paraId="00000004" w14:textId="77777777" w:rsidR="00426354" w:rsidRDefault="00426354">
      <w:pPr>
        <w:spacing w:line="480" w:lineRule="auto"/>
        <w:ind w:firstLine="720"/>
        <w:jc w:val="center"/>
        <w:rPr>
          <w:rFonts w:ascii="Times New Roman" w:eastAsia="Times New Roman" w:hAnsi="Times New Roman" w:cs="Times New Roman"/>
          <w:b/>
          <w:bCs/>
          <w:sz w:val="24"/>
          <w:szCs w:val="24"/>
        </w:rPr>
      </w:pPr>
    </w:p>
    <w:p w14:paraId="00000005" w14:textId="77777777" w:rsidR="00426354" w:rsidRDefault="00426354">
      <w:pPr>
        <w:spacing w:line="480" w:lineRule="auto"/>
        <w:ind w:firstLine="720"/>
        <w:jc w:val="center"/>
        <w:rPr>
          <w:rFonts w:ascii="Times New Roman" w:eastAsia="Times New Roman" w:hAnsi="Times New Roman" w:cs="Times New Roman"/>
          <w:b/>
          <w:bCs/>
          <w:sz w:val="24"/>
          <w:szCs w:val="24"/>
        </w:rPr>
      </w:pPr>
    </w:p>
    <w:p w14:paraId="00000006" w14:textId="77777777" w:rsidR="00426354" w:rsidRDefault="00426354">
      <w:pPr>
        <w:spacing w:line="480" w:lineRule="auto"/>
        <w:ind w:firstLine="720"/>
        <w:jc w:val="center"/>
        <w:rPr>
          <w:rFonts w:ascii="Times New Roman" w:eastAsia="Times New Roman" w:hAnsi="Times New Roman" w:cs="Times New Roman"/>
          <w:b/>
          <w:bCs/>
          <w:sz w:val="24"/>
          <w:szCs w:val="24"/>
        </w:rPr>
      </w:pPr>
    </w:p>
    <w:p w14:paraId="00000007" w14:textId="77777777" w:rsidR="00426354" w:rsidRDefault="00426354">
      <w:pPr>
        <w:spacing w:line="480" w:lineRule="auto"/>
        <w:ind w:firstLine="720"/>
        <w:jc w:val="center"/>
        <w:rPr>
          <w:rFonts w:ascii="Times New Roman" w:eastAsia="Times New Roman" w:hAnsi="Times New Roman" w:cs="Times New Roman"/>
          <w:b/>
          <w:bCs/>
          <w:sz w:val="24"/>
          <w:szCs w:val="24"/>
        </w:rPr>
      </w:pPr>
    </w:p>
    <w:p w14:paraId="00000008" w14:textId="77777777" w:rsidR="00426354" w:rsidRDefault="00426354">
      <w:pPr>
        <w:spacing w:line="480" w:lineRule="auto"/>
        <w:ind w:firstLine="720"/>
        <w:jc w:val="center"/>
        <w:rPr>
          <w:rFonts w:ascii="Times New Roman" w:eastAsia="Times New Roman" w:hAnsi="Times New Roman" w:cs="Times New Roman"/>
          <w:b/>
          <w:bCs/>
          <w:sz w:val="24"/>
          <w:szCs w:val="24"/>
        </w:rPr>
      </w:pPr>
    </w:p>
    <w:p w14:paraId="00000009" w14:textId="77777777" w:rsidR="00426354" w:rsidRDefault="00882237">
      <w:pPr>
        <w:spacing w:line="480" w:lineRule="auto"/>
        <w:ind w:firstLine="7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Faith on the Scene</w:t>
      </w:r>
    </w:p>
    <w:p w14:paraId="0000000A" w14:textId="77777777" w:rsidR="00426354" w:rsidRDefault="00426354">
      <w:pPr>
        <w:spacing w:line="480" w:lineRule="auto"/>
        <w:ind w:firstLine="720"/>
        <w:jc w:val="center"/>
        <w:rPr>
          <w:rFonts w:ascii="Times New Roman" w:eastAsia="Times New Roman" w:hAnsi="Times New Roman" w:cs="Times New Roman"/>
          <w:sz w:val="24"/>
          <w:szCs w:val="24"/>
        </w:rPr>
      </w:pPr>
    </w:p>
    <w:p w14:paraId="0000000B" w14:textId="77777777" w:rsidR="00426354" w:rsidRDefault="00882237">
      <w:pPr>
        <w:spacing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of Author </w:t>
      </w:r>
    </w:p>
    <w:p w14:paraId="0000000C" w14:textId="77777777" w:rsidR="00426354" w:rsidRDefault="00882237">
      <w:pPr>
        <w:spacing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Instructor Name </w:t>
      </w:r>
    </w:p>
    <w:p w14:paraId="0000000D" w14:textId="77777777" w:rsidR="00426354" w:rsidRDefault="00882237">
      <w:pPr>
        <w:spacing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Institutional Affiliation </w:t>
      </w:r>
    </w:p>
    <w:p w14:paraId="0000000E" w14:textId="77777777" w:rsidR="00426354" w:rsidRDefault="00882237">
      <w:pPr>
        <w:spacing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Course code and Number</w:t>
      </w:r>
    </w:p>
    <w:p w14:paraId="0000000F" w14:textId="77777777" w:rsidR="00426354" w:rsidRDefault="00882237">
      <w:pPr>
        <w:spacing w:line="480" w:lineRule="auto"/>
        <w:ind w:firstLine="720"/>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Date of Submission</w:t>
      </w:r>
      <w:r>
        <w:br w:type="page"/>
      </w:r>
    </w:p>
    <w:p w14:paraId="00000010" w14:textId="77777777" w:rsidR="00426354" w:rsidRDefault="00882237">
      <w:pPr>
        <w:spacing w:line="480" w:lineRule="auto"/>
        <w:ind w:firstLine="7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Faith on the Scene</w:t>
      </w:r>
    </w:p>
    <w:p w14:paraId="00000012" w14:textId="77777777" w:rsidR="00426354" w:rsidRDefault="00882237">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Part 1: Case Reflection</w:t>
      </w:r>
    </w:p>
    <w:p w14:paraId="2E7781B3" w14:textId="11FB1824" w:rsidR="009B085F" w:rsidRDefault="00882237" w:rsidP="009B085F">
      <w:pPr>
        <w:spacing w:line="480" w:lineRule="auto"/>
        <w:ind w:firstLine="720"/>
        <w:rPr>
          <w:rFonts w:ascii="Times New Roman" w:eastAsia="Times New Roman" w:hAnsi="Times New Roman" w:cs="Times New Roman"/>
          <w:sz w:val="24"/>
          <w:szCs w:val="24"/>
        </w:rPr>
      </w:pPr>
      <w:r w:rsidRPr="009B085F">
        <w:rPr>
          <w:rFonts w:ascii="Times New Roman" w:eastAsia="Times New Roman" w:hAnsi="Times New Roman" w:cs="Times New Roman"/>
          <w:sz w:val="24"/>
          <w:szCs w:val="24"/>
        </w:rPr>
        <w:t xml:space="preserve">One of the most popular studies on the clash between cultures in the healthcare sector is the case of Lia Lee, an American-born daughter of Hmong refugees. Lia was epileptic, which her family interpreted in terms of Hmong spirituality. Their beliefs held that seizures were not just a biomedical problem, but rather the spirit of Lia had gone out of the body, which could have been a special spiritual </w:t>
      </w:r>
      <w:r w:rsidR="00C33D3B">
        <w:rPr>
          <w:rFonts w:ascii="Times New Roman" w:eastAsia="Times New Roman" w:hAnsi="Times New Roman" w:cs="Times New Roman"/>
          <w:sz w:val="24"/>
          <w:szCs w:val="24"/>
        </w:rPr>
        <w:t>vocation (Anne</w:t>
      </w:r>
      <w:r w:rsidR="00C33D3B" w:rsidRPr="00C33D3B">
        <w:rPr>
          <w:rFonts w:ascii="Times New Roman" w:eastAsia="Times New Roman" w:hAnsi="Times New Roman" w:cs="Times New Roman"/>
          <w:sz w:val="24"/>
          <w:szCs w:val="24"/>
        </w:rPr>
        <w:t xml:space="preserve"> Fadiman</w:t>
      </w:r>
      <w:r w:rsidR="00C33D3B">
        <w:rPr>
          <w:rFonts w:ascii="Times New Roman" w:eastAsia="Times New Roman" w:hAnsi="Times New Roman" w:cs="Times New Roman"/>
          <w:sz w:val="24"/>
          <w:szCs w:val="24"/>
        </w:rPr>
        <w:t xml:space="preserve">, </w:t>
      </w:r>
      <w:r w:rsidR="00C33D3B" w:rsidRPr="00C33D3B">
        <w:rPr>
          <w:rFonts w:ascii="Times New Roman" w:eastAsia="Times New Roman" w:hAnsi="Times New Roman" w:cs="Times New Roman"/>
          <w:sz w:val="24"/>
          <w:szCs w:val="24"/>
        </w:rPr>
        <w:t>2025)</w:t>
      </w:r>
      <w:r w:rsidRPr="009B085F">
        <w:rPr>
          <w:rFonts w:ascii="Times New Roman" w:eastAsia="Times New Roman" w:hAnsi="Times New Roman" w:cs="Times New Roman"/>
          <w:sz w:val="24"/>
          <w:szCs w:val="24"/>
        </w:rPr>
        <w:t>. Conversely, her doctors addressed the situation using only the biomedical model and prescribed antiepileptic drugs and insisted on her rigorous compliance with treatment regimens. This was a key distinction in the interpretation of disease that put a rift between the family and the health providers.</w:t>
      </w:r>
      <w:r>
        <w:rPr>
          <w:rFonts w:ascii="Times New Roman" w:eastAsia="Times New Roman" w:hAnsi="Times New Roman" w:cs="Times New Roman"/>
          <w:sz w:val="24"/>
          <w:szCs w:val="24"/>
        </w:rPr>
        <w:t xml:space="preserve"> </w:t>
      </w:r>
    </w:p>
    <w:p w14:paraId="44F503A7" w14:textId="33E7A822" w:rsidR="00882237" w:rsidRDefault="00882237" w:rsidP="00882237">
      <w:pPr>
        <w:spacing w:line="480" w:lineRule="auto"/>
        <w:ind w:firstLine="720"/>
        <w:rPr>
          <w:rFonts w:ascii="Times New Roman" w:eastAsia="Times New Roman" w:hAnsi="Times New Roman" w:cs="Times New Roman"/>
          <w:sz w:val="24"/>
          <w:szCs w:val="24"/>
        </w:rPr>
      </w:pPr>
      <w:r w:rsidRPr="00882237">
        <w:rPr>
          <w:rFonts w:ascii="Times New Roman" w:eastAsia="Times New Roman" w:hAnsi="Times New Roman" w:cs="Times New Roman"/>
          <w:sz w:val="24"/>
          <w:szCs w:val="24"/>
        </w:rPr>
        <w:t>It also describes how Lia's parents pursued traditional forms of healing (prayers and sacrifices to spirits)</w:t>
      </w:r>
      <w:r>
        <w:rPr>
          <w:rFonts w:ascii="Times New Roman" w:eastAsia="Times New Roman" w:hAnsi="Times New Roman" w:cs="Times New Roman"/>
          <w:sz w:val="24"/>
          <w:szCs w:val="24"/>
        </w:rPr>
        <w:t>,</w:t>
      </w:r>
      <w:r w:rsidRPr="008822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which </w:t>
      </w:r>
      <w:r w:rsidRPr="00882237">
        <w:rPr>
          <w:rFonts w:ascii="Times New Roman" w:eastAsia="Times New Roman" w:hAnsi="Times New Roman" w:cs="Times New Roman"/>
          <w:sz w:val="24"/>
          <w:szCs w:val="24"/>
        </w:rPr>
        <w:t xml:space="preserve">they thought would clear her malady from her soul. In the </w:t>
      </w:r>
      <w:r>
        <w:rPr>
          <w:rFonts w:ascii="Times New Roman" w:eastAsia="Times New Roman" w:hAnsi="Times New Roman" w:cs="Times New Roman"/>
          <w:sz w:val="24"/>
          <w:szCs w:val="24"/>
        </w:rPr>
        <w:t>meantime</w:t>
      </w:r>
      <w:r w:rsidRPr="00882237">
        <w:rPr>
          <w:rFonts w:ascii="Times New Roman" w:eastAsia="Times New Roman" w:hAnsi="Times New Roman" w:cs="Times New Roman"/>
          <w:sz w:val="24"/>
          <w:szCs w:val="24"/>
        </w:rPr>
        <w:t xml:space="preserve">, her doctors insisted on </w:t>
      </w:r>
      <w:r>
        <w:rPr>
          <w:rFonts w:ascii="Times New Roman" w:eastAsia="Times New Roman" w:hAnsi="Times New Roman" w:cs="Times New Roman"/>
          <w:sz w:val="24"/>
          <w:szCs w:val="24"/>
        </w:rPr>
        <w:t>medication</w:t>
      </w:r>
      <w:r w:rsidRPr="00882237">
        <w:rPr>
          <w:rFonts w:ascii="Times New Roman" w:eastAsia="Times New Roman" w:hAnsi="Times New Roman" w:cs="Times New Roman"/>
          <w:sz w:val="24"/>
          <w:szCs w:val="24"/>
        </w:rPr>
        <w:t xml:space="preserve"> compliance and regular visits (Anne Fadiman, 2025). But the parents of Lia, who had limited knowledge of how serious epilepsy is or that they should remain compliant with medication management</w:t>
      </w:r>
      <w:r>
        <w:rPr>
          <w:rFonts w:ascii="Times New Roman" w:eastAsia="Times New Roman" w:hAnsi="Times New Roman" w:cs="Times New Roman"/>
          <w:sz w:val="24"/>
          <w:szCs w:val="24"/>
        </w:rPr>
        <w:t>,</w:t>
      </w:r>
      <w:r w:rsidRPr="00882237">
        <w:rPr>
          <w:rFonts w:ascii="Times New Roman" w:eastAsia="Times New Roman" w:hAnsi="Times New Roman" w:cs="Times New Roman"/>
          <w:sz w:val="24"/>
          <w:szCs w:val="24"/>
        </w:rPr>
        <w:t xml:space="preserve"> faced barriers to bridging those gaps, such as poor communication and a lack of culturally competent care and health literacy. Consequently, the phenomenon of non-compliance by the medical profession was a manifestation of cultural misinterpretation and an alternative</w:t>
      </w:r>
      <w:r>
        <w:rPr>
          <w:rFonts w:ascii="Times New Roman" w:eastAsia="Times New Roman" w:hAnsi="Times New Roman" w:cs="Times New Roman"/>
          <w:sz w:val="24"/>
          <w:szCs w:val="24"/>
        </w:rPr>
        <w:t xml:space="preserve">. </w:t>
      </w:r>
    </w:p>
    <w:p w14:paraId="318FDAC3" w14:textId="61C4F7D5" w:rsidR="00882237" w:rsidRDefault="00882237" w:rsidP="00882237">
      <w:pPr>
        <w:spacing w:line="480" w:lineRule="auto"/>
        <w:ind w:firstLine="720"/>
        <w:rPr>
          <w:rFonts w:ascii="Times New Roman" w:eastAsia="Times New Roman" w:hAnsi="Times New Roman" w:cs="Times New Roman"/>
          <w:sz w:val="24"/>
          <w:szCs w:val="24"/>
        </w:rPr>
      </w:pPr>
      <w:r w:rsidRPr="00882237">
        <w:rPr>
          <w:rFonts w:ascii="Times New Roman" w:eastAsia="Times New Roman" w:hAnsi="Times New Roman" w:cs="Times New Roman"/>
          <w:sz w:val="24"/>
          <w:szCs w:val="24"/>
        </w:rPr>
        <w:t>The conflict between these views led to confusion, frustration</w:t>
      </w:r>
      <w:r>
        <w:rPr>
          <w:rFonts w:ascii="Times New Roman" w:eastAsia="Times New Roman" w:hAnsi="Times New Roman" w:cs="Times New Roman"/>
          <w:sz w:val="24"/>
          <w:szCs w:val="24"/>
        </w:rPr>
        <w:t>,</w:t>
      </w:r>
      <w:r w:rsidRPr="00882237">
        <w:rPr>
          <w:rFonts w:ascii="Times New Roman" w:eastAsia="Times New Roman" w:hAnsi="Times New Roman" w:cs="Times New Roman"/>
          <w:sz w:val="24"/>
          <w:szCs w:val="24"/>
        </w:rPr>
        <w:t xml:space="preserve"> and mistrust which were </w:t>
      </w:r>
      <w:proofErr w:type="gramStart"/>
      <w:r w:rsidRPr="00882237">
        <w:rPr>
          <w:rFonts w:ascii="Times New Roman" w:eastAsia="Times New Roman" w:hAnsi="Times New Roman" w:cs="Times New Roman"/>
          <w:sz w:val="24"/>
          <w:szCs w:val="24"/>
        </w:rPr>
        <w:t>eventually .</w:t>
      </w:r>
      <w:proofErr w:type="gramEnd"/>
      <w:r w:rsidRPr="00882237">
        <w:rPr>
          <w:rFonts w:ascii="Times New Roman" w:eastAsia="Times New Roman" w:hAnsi="Times New Roman" w:cs="Times New Roman"/>
          <w:sz w:val="24"/>
          <w:szCs w:val="24"/>
        </w:rPr>
        <w:t xml:space="preserve"> And it also emerged from the limitations of the U.S. health care system, with its focus on efficiency, standardisation, and evidence-based medicine, which allows little room for cultural negotiation. In contrast, Hmong culture places a high value on family unity, spirituality, and traditional healers which is contrary to western beliefs of individual accountability and following medical procedures (Zhang, 2023).</w:t>
      </w:r>
    </w:p>
    <w:p w14:paraId="68A3A611" w14:textId="362481AF" w:rsidR="00882237" w:rsidRPr="00882237" w:rsidRDefault="00882237" w:rsidP="00882237">
      <w:pPr>
        <w:spacing w:line="480" w:lineRule="auto"/>
        <w:ind w:firstLine="720"/>
        <w:rPr>
          <w:rFonts w:ascii="Times New Roman" w:eastAsia="Times New Roman" w:hAnsi="Times New Roman" w:cs="Times New Roman"/>
          <w:sz w:val="24"/>
          <w:szCs w:val="24"/>
        </w:rPr>
      </w:pPr>
      <w:r w:rsidRPr="00882237">
        <w:rPr>
          <w:rFonts w:ascii="Times New Roman" w:eastAsia="Times New Roman" w:hAnsi="Times New Roman" w:cs="Times New Roman"/>
          <w:sz w:val="24"/>
          <w:szCs w:val="24"/>
        </w:rPr>
        <w:lastRenderedPageBreak/>
        <w:t>The case brings to the fore some of the key concepts in cross-cultural care. One of the most important concepts is that of "ethnocentrism</w:t>
      </w:r>
      <w:r>
        <w:rPr>
          <w:rFonts w:ascii="Times New Roman" w:eastAsia="Times New Roman" w:hAnsi="Times New Roman" w:cs="Times New Roman"/>
          <w:sz w:val="24"/>
          <w:szCs w:val="24"/>
        </w:rPr>
        <w:t>,</w:t>
      </w:r>
      <w:r w:rsidRPr="00882237">
        <w:rPr>
          <w:rFonts w:ascii="Times New Roman" w:eastAsia="Times New Roman" w:hAnsi="Times New Roman" w:cs="Times New Roman"/>
          <w:sz w:val="24"/>
          <w:szCs w:val="24"/>
        </w:rPr>
        <w:t xml:space="preserve">" described by Geri-Ann </w:t>
      </w:r>
      <w:proofErr w:type="spellStart"/>
      <w:r w:rsidRPr="00882237">
        <w:rPr>
          <w:rFonts w:ascii="Times New Roman" w:eastAsia="Times New Roman" w:hAnsi="Times New Roman" w:cs="Times New Roman"/>
          <w:sz w:val="24"/>
          <w:szCs w:val="24"/>
        </w:rPr>
        <w:t>Galanti</w:t>
      </w:r>
      <w:proofErr w:type="spellEnd"/>
      <w:r w:rsidRPr="00882237">
        <w:rPr>
          <w:rFonts w:ascii="Times New Roman" w:eastAsia="Times New Roman" w:hAnsi="Times New Roman" w:cs="Times New Roman"/>
          <w:sz w:val="24"/>
          <w:szCs w:val="24"/>
        </w:rPr>
        <w:t xml:space="preserve"> (2015). This notion suggests that families and patients explain illness according to their cultural beliefs, which may be very different from the biomedical ones. For Lia, her parents' understanding of the cause of epilepsy was opposed to the biomedical understanding of her doctors, creating an irreconcilable conflict. The language barrier also played into this divide because interpretation services were not always available or well-trained, and there would not be much communication about medication prescriptions and treatment goals.</w:t>
      </w:r>
    </w:p>
    <w:p w14:paraId="3FA1D251" w14:textId="558756B7" w:rsidR="00C33D3B" w:rsidRDefault="00882237" w:rsidP="00882237">
      <w:pPr>
        <w:spacing w:line="480" w:lineRule="auto"/>
        <w:ind w:firstLine="720"/>
        <w:rPr>
          <w:rFonts w:ascii="Times New Roman" w:eastAsia="Times New Roman" w:hAnsi="Times New Roman" w:cs="Times New Roman"/>
          <w:sz w:val="24"/>
          <w:szCs w:val="24"/>
        </w:rPr>
      </w:pPr>
      <w:r w:rsidRPr="00882237">
        <w:rPr>
          <w:rFonts w:ascii="Times New Roman" w:eastAsia="Times New Roman" w:hAnsi="Times New Roman" w:cs="Times New Roman"/>
          <w:sz w:val="24"/>
          <w:szCs w:val="24"/>
        </w:rPr>
        <w:t>Cultural values were also very fundamental</w:t>
      </w:r>
      <w:r w:rsidRPr="009B085F">
        <w:rPr>
          <w:rFonts w:ascii="Times New Roman" w:eastAsia="Times New Roman" w:hAnsi="Times New Roman" w:cs="Times New Roman"/>
          <w:sz w:val="24"/>
          <w:szCs w:val="24"/>
        </w:rPr>
        <w:t xml:space="preserve">. Hmong attention to group decision-making and respect </w:t>
      </w:r>
      <w:r>
        <w:rPr>
          <w:rFonts w:ascii="Times New Roman" w:eastAsia="Times New Roman" w:hAnsi="Times New Roman" w:cs="Times New Roman"/>
          <w:sz w:val="24"/>
          <w:szCs w:val="24"/>
        </w:rPr>
        <w:t>for</w:t>
      </w:r>
      <w:r w:rsidRPr="009B085F">
        <w:rPr>
          <w:rFonts w:ascii="Times New Roman" w:eastAsia="Times New Roman" w:hAnsi="Times New Roman" w:cs="Times New Roman"/>
          <w:sz w:val="24"/>
          <w:szCs w:val="24"/>
        </w:rPr>
        <w:t xml:space="preserve"> customs compared negatively with Western </w:t>
      </w:r>
      <w:r>
        <w:rPr>
          <w:rFonts w:ascii="Times New Roman" w:eastAsia="Times New Roman" w:hAnsi="Times New Roman" w:cs="Times New Roman"/>
          <w:sz w:val="24"/>
          <w:szCs w:val="24"/>
        </w:rPr>
        <w:t>attempts</w:t>
      </w:r>
      <w:r w:rsidRPr="009B085F">
        <w:rPr>
          <w:rFonts w:ascii="Times New Roman" w:eastAsia="Times New Roman" w:hAnsi="Times New Roman" w:cs="Times New Roman"/>
          <w:sz w:val="24"/>
          <w:szCs w:val="24"/>
        </w:rPr>
        <w:t xml:space="preserve"> at individualism and following medical authority</w:t>
      </w:r>
      <w:r>
        <w:rPr>
          <w:rFonts w:ascii="Times New Roman" w:eastAsia="Times New Roman" w:hAnsi="Times New Roman" w:cs="Times New Roman"/>
          <w:sz w:val="24"/>
          <w:szCs w:val="24"/>
        </w:rPr>
        <w:t xml:space="preserve"> </w:t>
      </w:r>
      <w:r w:rsidR="008A1DA7" w:rsidRPr="008A1DA7">
        <w:rPr>
          <w:rFonts w:ascii="Times New Roman" w:eastAsia="Times New Roman" w:hAnsi="Times New Roman" w:cs="Times New Roman"/>
          <w:sz w:val="24"/>
          <w:szCs w:val="24"/>
        </w:rPr>
        <w:t>(Zhang, 2023)</w:t>
      </w:r>
      <w:r w:rsidR="008A1DA7">
        <w:rPr>
          <w:rFonts w:ascii="Times New Roman" w:eastAsia="Times New Roman" w:hAnsi="Times New Roman" w:cs="Times New Roman"/>
          <w:sz w:val="24"/>
          <w:szCs w:val="24"/>
        </w:rPr>
        <w:t xml:space="preserve">. </w:t>
      </w:r>
      <w:r w:rsidR="00461E6D">
        <w:rPr>
          <w:rFonts w:ascii="Times New Roman" w:eastAsia="Times New Roman" w:hAnsi="Times New Roman" w:cs="Times New Roman"/>
          <w:sz w:val="24"/>
          <w:szCs w:val="24"/>
        </w:rPr>
        <w:t xml:space="preserve">Moreover, the concept of </w:t>
      </w:r>
      <w:r w:rsidRPr="009B085F">
        <w:rPr>
          <w:rFonts w:ascii="Times New Roman" w:eastAsia="Times New Roman" w:hAnsi="Times New Roman" w:cs="Times New Roman"/>
          <w:sz w:val="24"/>
          <w:szCs w:val="24"/>
        </w:rPr>
        <w:t xml:space="preserve">ethnocentrism, which can be characterized as the tendency to consider </w:t>
      </w:r>
      <w:r>
        <w:rPr>
          <w:rFonts w:ascii="Times New Roman" w:eastAsia="Times New Roman" w:hAnsi="Times New Roman" w:cs="Times New Roman"/>
          <w:sz w:val="24"/>
          <w:szCs w:val="24"/>
        </w:rPr>
        <w:t xml:space="preserve">one's </w:t>
      </w:r>
      <w:r w:rsidRPr="009B085F">
        <w:rPr>
          <w:rFonts w:ascii="Times New Roman" w:eastAsia="Times New Roman" w:hAnsi="Times New Roman" w:cs="Times New Roman"/>
          <w:sz w:val="24"/>
          <w:szCs w:val="24"/>
        </w:rPr>
        <w:t>own cultural perspective as being the best compared to others</w:t>
      </w:r>
      <w:r w:rsidR="00461E6D">
        <w:rPr>
          <w:rFonts w:ascii="Times New Roman" w:eastAsia="Times New Roman" w:hAnsi="Times New Roman" w:cs="Times New Roman"/>
          <w:sz w:val="24"/>
          <w:szCs w:val="24"/>
        </w:rPr>
        <w:t xml:space="preserve"> </w:t>
      </w:r>
      <w:r w:rsidR="00461E6D" w:rsidRPr="00461E6D">
        <w:rPr>
          <w:rFonts w:ascii="Times New Roman" w:eastAsia="Times New Roman" w:hAnsi="Times New Roman" w:cs="Times New Roman"/>
          <w:sz w:val="24"/>
          <w:szCs w:val="24"/>
        </w:rPr>
        <w:t>(Yousaf et al., 2022)</w:t>
      </w:r>
      <w:r w:rsidRPr="009B085F">
        <w:rPr>
          <w:rFonts w:ascii="Times New Roman" w:eastAsia="Times New Roman" w:hAnsi="Times New Roman" w:cs="Times New Roman"/>
          <w:sz w:val="24"/>
          <w:szCs w:val="24"/>
        </w:rPr>
        <w:t xml:space="preserve">, </w:t>
      </w:r>
      <w:r w:rsidR="00461E6D">
        <w:rPr>
          <w:rFonts w:ascii="Times New Roman" w:eastAsia="Times New Roman" w:hAnsi="Times New Roman" w:cs="Times New Roman"/>
          <w:sz w:val="24"/>
          <w:szCs w:val="24"/>
        </w:rPr>
        <w:t>is evident in</w:t>
      </w:r>
      <w:r w:rsidRPr="009B085F">
        <w:rPr>
          <w:rFonts w:ascii="Times New Roman" w:eastAsia="Times New Roman" w:hAnsi="Times New Roman" w:cs="Times New Roman"/>
          <w:sz w:val="24"/>
          <w:szCs w:val="24"/>
        </w:rPr>
        <w:t xml:space="preserve"> this case; the attitudes of certain healthcare providers were quite clear as they disregarded the beliefs of the family</w:t>
      </w:r>
      <w:r>
        <w:rPr>
          <w:rFonts w:ascii="Times New Roman" w:eastAsia="Times New Roman" w:hAnsi="Times New Roman" w:cs="Times New Roman"/>
          <w:sz w:val="24"/>
          <w:szCs w:val="24"/>
        </w:rPr>
        <w:t>,</w:t>
      </w:r>
      <w:r w:rsidRPr="009B085F">
        <w:rPr>
          <w:rFonts w:ascii="Times New Roman" w:eastAsia="Times New Roman" w:hAnsi="Times New Roman" w:cs="Times New Roman"/>
          <w:sz w:val="24"/>
          <w:szCs w:val="24"/>
        </w:rPr>
        <w:t xml:space="preserve"> and instead of aiming to comprehend them. Not only was this damaging to the therapeutic relationship, but it </w:t>
      </w:r>
      <w:r>
        <w:rPr>
          <w:rFonts w:ascii="Times New Roman" w:eastAsia="Times New Roman" w:hAnsi="Times New Roman" w:cs="Times New Roman"/>
          <w:sz w:val="24"/>
          <w:szCs w:val="24"/>
        </w:rPr>
        <w:t>also led</w:t>
      </w:r>
      <w:r w:rsidRPr="009B085F">
        <w:rPr>
          <w:rFonts w:ascii="Times New Roman" w:eastAsia="Times New Roman" w:hAnsi="Times New Roman" w:cs="Times New Roman"/>
          <w:sz w:val="24"/>
          <w:szCs w:val="24"/>
        </w:rPr>
        <w:t xml:space="preserve"> to worse health outcomes in Lia.</w:t>
      </w:r>
    </w:p>
    <w:p w14:paraId="5C7F0E77" w14:textId="7F9BC33E" w:rsidR="00C33D3B" w:rsidRDefault="00882237" w:rsidP="00C33D3B">
      <w:pPr>
        <w:spacing w:line="480" w:lineRule="auto"/>
        <w:ind w:firstLine="720"/>
        <w:rPr>
          <w:rFonts w:ascii="Times New Roman" w:eastAsia="Times New Roman" w:hAnsi="Times New Roman" w:cs="Times New Roman"/>
          <w:sz w:val="24"/>
          <w:szCs w:val="24"/>
        </w:rPr>
      </w:pPr>
      <w:r w:rsidRPr="009B085F">
        <w:rPr>
          <w:rFonts w:ascii="Times New Roman" w:eastAsia="Times New Roman" w:hAnsi="Times New Roman" w:cs="Times New Roman"/>
          <w:sz w:val="24"/>
          <w:szCs w:val="24"/>
        </w:rPr>
        <w:t>In critical terms, the case of Lia Lee highlights the significance of cultural competence as well as the shortcomings of the competence-only approach. The understanding of cultural competence is associated with an understanding of various cultures, which will lead to stereotyping and oversimplification. Rather, the idea of cultural humility is more fitting since it prioritizes continuous self-reflection, openness, and readiness to learn with patients. Moreover, the case will show structural inequalities in health care systems that prevent culturally responsive care, including insufficient interpreter services, time, and institutionalized prejudices.</w:t>
      </w:r>
    </w:p>
    <w:p w14:paraId="10976709" w14:textId="4504996F" w:rsidR="009B085F" w:rsidRDefault="00882237" w:rsidP="00C33D3B">
      <w:pPr>
        <w:spacing w:line="480" w:lineRule="auto"/>
        <w:ind w:firstLine="720"/>
        <w:rPr>
          <w:rFonts w:ascii="Times New Roman" w:eastAsia="Times New Roman" w:hAnsi="Times New Roman" w:cs="Times New Roman"/>
          <w:sz w:val="24"/>
          <w:szCs w:val="24"/>
        </w:rPr>
      </w:pPr>
      <w:r w:rsidRPr="009B085F">
        <w:rPr>
          <w:rFonts w:ascii="Times New Roman" w:eastAsia="Times New Roman" w:hAnsi="Times New Roman" w:cs="Times New Roman"/>
          <w:sz w:val="24"/>
          <w:szCs w:val="24"/>
        </w:rPr>
        <w:lastRenderedPageBreak/>
        <w:t xml:space="preserve">Notably, the case also introduces ethical issues of patient autonomy, parental authority, and the place of the state in the medical decision process. The intervention of child protective services, as an intervention in the case of Lia, represents the way in which cultural misunderstandings may cause legal clashes, which </w:t>
      </w:r>
      <w:r>
        <w:rPr>
          <w:rFonts w:ascii="Times New Roman" w:eastAsia="Times New Roman" w:hAnsi="Times New Roman" w:cs="Times New Roman"/>
          <w:sz w:val="24"/>
          <w:szCs w:val="24"/>
        </w:rPr>
        <w:t>tend</w:t>
      </w:r>
      <w:r w:rsidRPr="009B085F">
        <w:rPr>
          <w:rFonts w:ascii="Times New Roman" w:eastAsia="Times New Roman" w:hAnsi="Times New Roman" w:cs="Times New Roman"/>
          <w:sz w:val="24"/>
          <w:szCs w:val="24"/>
        </w:rPr>
        <w:t xml:space="preserve"> to disproportionately apply to minority groups. Thus, to enhance cross-cultural healthcare, it is necessary not only to change the individual level, including working on the areas of communication and empathy, but also to reform the system and make it focused on inclusiveness, flexibility, and patient-centered care.</w:t>
      </w:r>
    </w:p>
    <w:p w14:paraId="00000017" w14:textId="0615E24D" w:rsidR="00426354" w:rsidRDefault="00882237" w:rsidP="009B085F">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Part 2: Action Plan</w:t>
      </w:r>
    </w:p>
    <w:p w14:paraId="00000018" w14:textId="77777777" w:rsidR="00426354" w:rsidRDefault="00426354"/>
    <w:p w14:paraId="00109B57" w14:textId="559F7C15" w:rsidR="00532CED" w:rsidRDefault="00882237" w:rsidP="00532CED">
      <w:pPr>
        <w:spacing w:line="480" w:lineRule="auto"/>
        <w:ind w:firstLine="720"/>
        <w:rPr>
          <w:rFonts w:ascii="Times New Roman" w:eastAsia="Times New Roman" w:hAnsi="Times New Roman" w:cs="Times New Roman"/>
          <w:sz w:val="24"/>
          <w:szCs w:val="24"/>
        </w:rPr>
      </w:pPr>
      <w:r w:rsidRPr="00532CED">
        <w:rPr>
          <w:rFonts w:ascii="Times New Roman" w:eastAsia="Times New Roman" w:hAnsi="Times New Roman" w:cs="Times New Roman"/>
          <w:sz w:val="24"/>
          <w:szCs w:val="24"/>
        </w:rPr>
        <w:t>The most comprehensive approach that rests on the cultural competence concept proposed by Galanti is to make culturally responsive care institutionalized based on structured assessment, communication, and training practices</w:t>
      </w:r>
      <w:r>
        <w:rPr>
          <w:rFonts w:ascii="Times New Roman" w:eastAsia="Times New Roman" w:hAnsi="Times New Roman" w:cs="Times New Roman"/>
          <w:sz w:val="24"/>
          <w:szCs w:val="24"/>
        </w:rPr>
        <w:t xml:space="preserve">. </w:t>
      </w:r>
      <w:r w:rsidRPr="00532CED">
        <w:rPr>
          <w:rFonts w:ascii="Times New Roman" w:eastAsia="Times New Roman" w:hAnsi="Times New Roman" w:cs="Times New Roman"/>
          <w:sz w:val="24"/>
          <w:szCs w:val="24"/>
        </w:rPr>
        <w:t>Further to this, interpreter services should be enhanced together with the inclusion of cultural mediators so as to guarantee the incorporation of accurate and culturally sensitive communication. Continued training in cultural competence also provides the skills and humility required to navigate through diverse populations effectively. Combined, the measures will develop a healthcare setting that acknowledges cultural differences and positively influences patient outcomes and trust levels.</w:t>
      </w:r>
    </w:p>
    <w:p w14:paraId="0000001A" w14:textId="6FD957F7" w:rsidR="00426354" w:rsidRDefault="00882237">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Strategy 1: Adopt Systematic Cultural Assessment Instruments.</w:t>
      </w:r>
    </w:p>
    <w:p w14:paraId="0000001B" w14:textId="588299B9" w:rsidR="00426354" w:rsidRDefault="00882237">
      <w:pPr>
        <w:spacing w:line="480" w:lineRule="auto"/>
        <w:ind w:firstLine="720"/>
        <w:rPr>
          <w:rFonts w:ascii="Times New Roman" w:eastAsia="Times New Roman" w:hAnsi="Times New Roman" w:cs="Times New Roman"/>
          <w:sz w:val="24"/>
          <w:szCs w:val="24"/>
        </w:rPr>
      </w:pPr>
      <w:r w:rsidRPr="00532CED">
        <w:rPr>
          <w:rFonts w:ascii="Times New Roman" w:eastAsia="Times New Roman" w:hAnsi="Times New Roman" w:cs="Times New Roman"/>
          <w:sz w:val="24"/>
          <w:szCs w:val="24"/>
        </w:rPr>
        <w:t xml:space="preserve">The initial move towards culturally competent care is implementing the concept of Galanti, which encompasses the cultural beliefs and practices of the patient concerning illness and management. Medical professionals should take an active interest in how patients perceive their illness, as well as how they believe it, what they consider appropriate treatment, and traditional healing practices they believe to be effective. In the absence of this knowledge, the providers are at risk of miscommunication, non-compliance, and adverse </w:t>
      </w:r>
      <w:r w:rsidRPr="00532CED">
        <w:rPr>
          <w:rFonts w:ascii="Times New Roman" w:eastAsia="Times New Roman" w:hAnsi="Times New Roman" w:cs="Times New Roman"/>
          <w:sz w:val="24"/>
          <w:szCs w:val="24"/>
        </w:rPr>
        <w:lastRenderedPageBreak/>
        <w:t>health consequences. It is evident, as Geri-Ann Galanti (2015) states, that patients might adhere to alternative health belief systems other than the biomedical model, which means that effective care requires awareness of that fact. Through recognition and respect of these opinions, providers will be able to create treatment plans that respect the cultural values of the patients</w:t>
      </w:r>
      <w:r w:rsidR="007A15A9">
        <w:rPr>
          <w:rFonts w:ascii="Times New Roman" w:eastAsia="Times New Roman" w:hAnsi="Times New Roman" w:cs="Times New Roman"/>
          <w:sz w:val="24"/>
          <w:szCs w:val="24"/>
        </w:rPr>
        <w:t>. The most commonly known models are Kleinman's explanatory model, which encompasses questions including: What do you think caused your illness? (HHS, n.d.)</w:t>
      </w:r>
      <w:r w:rsidR="00B85EBE">
        <w:rPr>
          <w:rFonts w:ascii="Times New Roman" w:eastAsia="Times New Roman" w:hAnsi="Times New Roman" w:cs="Times New Roman"/>
          <w:sz w:val="24"/>
          <w:szCs w:val="24"/>
        </w:rPr>
        <w:t xml:space="preserve">. </w:t>
      </w:r>
      <w:r w:rsidR="007A15A9">
        <w:rPr>
          <w:rFonts w:ascii="Times New Roman" w:eastAsia="Times New Roman" w:hAnsi="Times New Roman" w:cs="Times New Roman"/>
          <w:sz w:val="24"/>
          <w:szCs w:val="24"/>
        </w:rPr>
        <w:t>The questions help the providers to disclose culturally held beliefs that may influence any medical decision. This was what happened to Lia early in the use of such devices, and it could have contributed to her making the spiritual interpretation of epilepsy in her family</w:t>
      </w:r>
      <w:r w:rsidR="00B85EBE">
        <w:rPr>
          <w:rFonts w:ascii="Times New Roman" w:eastAsia="Times New Roman" w:hAnsi="Times New Roman" w:cs="Times New Roman"/>
          <w:sz w:val="24"/>
          <w:szCs w:val="24"/>
        </w:rPr>
        <w:t xml:space="preserve">, </w:t>
      </w:r>
      <w:r w:rsidR="007A15A9">
        <w:rPr>
          <w:rFonts w:ascii="Times New Roman" w:eastAsia="Times New Roman" w:hAnsi="Times New Roman" w:cs="Times New Roman"/>
          <w:sz w:val="24"/>
          <w:szCs w:val="24"/>
        </w:rPr>
        <w:t xml:space="preserve">as it could have helped her to note. Instead of rejecting such beliefs, providers could have worked together to integrate biomedical </w:t>
      </w:r>
      <w:r w:rsidR="00B85EBE">
        <w:rPr>
          <w:rFonts w:ascii="Times New Roman" w:eastAsia="Times New Roman" w:hAnsi="Times New Roman" w:cs="Times New Roman"/>
          <w:sz w:val="24"/>
          <w:szCs w:val="24"/>
        </w:rPr>
        <w:t xml:space="preserve">approaches </w:t>
      </w:r>
      <w:r w:rsidR="007A15A9">
        <w:rPr>
          <w:rFonts w:ascii="Times New Roman" w:eastAsia="Times New Roman" w:hAnsi="Times New Roman" w:cs="Times New Roman"/>
          <w:sz w:val="24"/>
          <w:szCs w:val="24"/>
        </w:rPr>
        <w:t xml:space="preserve">since they are culturally relevant to practices of importance. This aligns with research that culturally individualized care improves patient satisfaction and compliance </w:t>
      </w:r>
      <w:r w:rsidRPr="00532CED">
        <w:rPr>
          <w:rFonts w:ascii="Times New Roman" w:eastAsia="Times New Roman" w:hAnsi="Times New Roman" w:cs="Times New Roman"/>
          <w:sz w:val="24"/>
          <w:szCs w:val="24"/>
        </w:rPr>
        <w:t>(Vandecasteele et al., 2024)</w:t>
      </w:r>
      <w:r>
        <w:rPr>
          <w:rFonts w:ascii="Times New Roman" w:eastAsia="Times New Roman" w:hAnsi="Times New Roman" w:cs="Times New Roman"/>
          <w:sz w:val="24"/>
          <w:szCs w:val="24"/>
        </w:rPr>
        <w:t xml:space="preserve">. </w:t>
      </w:r>
      <w:r w:rsidR="007A15A9">
        <w:rPr>
          <w:rFonts w:ascii="Times New Roman" w:eastAsia="Times New Roman" w:hAnsi="Times New Roman" w:cs="Times New Roman"/>
          <w:sz w:val="24"/>
          <w:szCs w:val="24"/>
        </w:rPr>
        <w:t>Further, structured tests bring about uniformity among providers and minimize the use of assumptions or stereotypes</w:t>
      </w:r>
      <w:r w:rsidR="00B85EBE">
        <w:rPr>
          <w:rFonts w:ascii="Times New Roman" w:eastAsia="Times New Roman" w:hAnsi="Times New Roman" w:cs="Times New Roman"/>
          <w:sz w:val="24"/>
          <w:szCs w:val="24"/>
        </w:rPr>
        <w:t xml:space="preserve"> </w:t>
      </w:r>
      <w:r w:rsidRPr="00532CED">
        <w:rPr>
          <w:rFonts w:ascii="Times New Roman" w:eastAsia="Times New Roman" w:hAnsi="Times New Roman" w:cs="Times New Roman"/>
          <w:sz w:val="24"/>
          <w:szCs w:val="24"/>
        </w:rPr>
        <w:t>(Vandecasteele et al., 2024)</w:t>
      </w:r>
      <w:r>
        <w:rPr>
          <w:rFonts w:ascii="Times New Roman" w:eastAsia="Times New Roman" w:hAnsi="Times New Roman" w:cs="Times New Roman"/>
          <w:sz w:val="24"/>
          <w:szCs w:val="24"/>
        </w:rPr>
        <w:t xml:space="preserve">. </w:t>
      </w:r>
      <w:r w:rsidR="007A15A9">
        <w:rPr>
          <w:rFonts w:ascii="Times New Roman" w:eastAsia="Times New Roman" w:hAnsi="Times New Roman" w:cs="Times New Roman"/>
          <w:sz w:val="24"/>
          <w:szCs w:val="24"/>
        </w:rPr>
        <w:t>This can be institutionalized by making cultural understanding a normative feature of clinical practice, not a secondary skill for healthcare systems.</w:t>
      </w:r>
    </w:p>
    <w:p w14:paraId="0000001C" w14:textId="77777777" w:rsidR="00426354" w:rsidRDefault="00882237">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Strategies 2: Enhance Interpreter Services and Cultural Mediation</w:t>
      </w:r>
      <w:r>
        <w:rPr>
          <w:rFonts w:ascii="Times New Roman" w:eastAsia="Times New Roman" w:hAnsi="Times New Roman" w:cs="Times New Roman"/>
          <w:sz w:val="24"/>
          <w:szCs w:val="24"/>
        </w:rPr>
        <w:t>.</w:t>
      </w:r>
    </w:p>
    <w:p w14:paraId="0000001D" w14:textId="28B11BC6" w:rsidR="00426354" w:rsidRDefault="0088223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Successful communication is the key to quality healthcare, and a significant element of health disparity is still language barriers. Geri-Ann Galanti (2015) emphasizes that wrong diagnoses, inappropriate medication, and reduced patient trust are mainly due to miscommunication. The professional interpreters are proficient in language translation and medical terms, guaranteeing effective and full translation. Research has revealed that employed interpreters contribute to the reduction of medical errors and the enhancement of patient outcomes (Heath et al., 2023). Besides the interpreters, some cultural mediators are very instrumental in reducing cultural differences. Most interpreters can work with language; </w:t>
      </w:r>
      <w:r>
        <w:rPr>
          <w:rFonts w:ascii="Times New Roman" w:eastAsia="Times New Roman" w:hAnsi="Times New Roman" w:cs="Times New Roman"/>
          <w:sz w:val="24"/>
          <w:szCs w:val="24"/>
        </w:rPr>
        <w:lastRenderedPageBreak/>
        <w:t>however, cultural mediators can assist in understanding the cultural background of patients, including beliefs and behaviors</w:t>
      </w:r>
      <w:r w:rsidR="00B85EBE">
        <w:rPr>
          <w:rFonts w:ascii="Times New Roman" w:eastAsia="Times New Roman" w:hAnsi="Times New Roman" w:cs="Times New Roman"/>
          <w:sz w:val="24"/>
          <w:szCs w:val="24"/>
        </w:rPr>
        <w:t xml:space="preserve"> (Heath et al., 2023)</w:t>
      </w:r>
      <w:r>
        <w:rPr>
          <w:rFonts w:ascii="Times New Roman" w:eastAsia="Times New Roman" w:hAnsi="Times New Roman" w:cs="Times New Roman"/>
          <w:sz w:val="24"/>
          <w:szCs w:val="24"/>
        </w:rPr>
        <w:t>. They can educate healthcare providers about traditional practices and culturally elucidate medical prescriptions. With Lia, it might have been through frequent involvement of an interpreter and cultural mediators to help avoid cases where an individual had to guess about the volume of medication to take, as well as the value of scheduled adherence. As an illustration, the providers might have provided information on how the anticonvulsant medications would operate and also come to terms with the spiritual practices of the family</w:t>
      </w:r>
      <w:r w:rsidR="009B085F">
        <w:rPr>
          <w:rStyle w:val="CommentReference"/>
          <w:rFonts w:ascii="Times New Roman" w:eastAsia="Times New Roman" w:hAnsi="Times New Roman" w:cs="Times New Roman"/>
          <w:sz w:val="24"/>
          <w:szCs w:val="24"/>
        </w:rPr>
        <w:t>,</w:t>
      </w:r>
      <w:r w:rsidR="009B085F" w:rsidRPr="000D4598">
        <w:rPr>
          <w:rStyle w:val="CommentReference"/>
          <w:rFonts w:ascii="Times New Roman" w:hAnsi="Times New Roman"/>
          <w:sz w:val="24"/>
        </w:rPr>
        <w:t xml:space="preserve"> </w:t>
      </w:r>
      <w:r>
        <w:rPr>
          <w:rFonts w:ascii="Times New Roman" w:eastAsia="Times New Roman" w:hAnsi="Times New Roman" w:cs="Times New Roman"/>
          <w:sz w:val="24"/>
          <w:szCs w:val="24"/>
        </w:rPr>
        <w:t>resulting in the development of an acceptable treatment plan. The institutions should consequently invest in interpreter training programs, make them available in every department, and practice cultural mediation in care teams. Such a combination of the two strengthens linguistic and cultural competence.</w:t>
      </w:r>
    </w:p>
    <w:p w14:paraId="0000001E" w14:textId="77777777" w:rsidR="00426354" w:rsidRDefault="00882237">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Strategy 3: Pairing Cultural Competence Training with Healthcare Education.</w:t>
      </w:r>
    </w:p>
    <w:p w14:paraId="0000001F" w14:textId="0AEB8CA2" w:rsidR="00426354" w:rsidRDefault="0088223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Cultural competence is not a benefit but a process that is acquired and developed. As  Geri-Ann Galanti (2015) </w:t>
      </w:r>
      <w:r w:rsidR="00532CED">
        <w:rPr>
          <w:rFonts w:ascii="Times New Roman" w:eastAsia="Times New Roman" w:hAnsi="Times New Roman" w:cs="Times New Roman"/>
          <w:sz w:val="24"/>
          <w:szCs w:val="24"/>
        </w:rPr>
        <w:t>f</w:t>
      </w:r>
      <w:r>
        <w:rPr>
          <w:rFonts w:ascii="Times New Roman" w:eastAsia="Times New Roman" w:hAnsi="Times New Roman" w:cs="Times New Roman"/>
          <w:sz w:val="24"/>
          <w:szCs w:val="24"/>
        </w:rPr>
        <w:t>ocuses on cultural humility, which means that it is impossible to master other cultures, but one should be open to learning. According to research, such training is effective in enhancing the attitude of providers, their knowledge, and interaction with the patients (Hughes et al., 2020). Moreover, training aims to target the systemic problems, including institutional bias and the absence of diversity in healthcare leadership, which might affect the patients. Healthcare systems can instill cultural competence in both pre-professional education and continuous professional growth to produce a workforce with a higher level of resistance to cultural diversity.</w:t>
      </w:r>
    </w:p>
    <w:p w14:paraId="00000020" w14:textId="77777777" w:rsidR="00426354" w:rsidRDefault="00882237">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Systemic and Ethical Considerations.</w:t>
      </w:r>
    </w:p>
    <w:p w14:paraId="00000025" w14:textId="4BFD12BB" w:rsidR="00426354" w:rsidRDefault="00882237" w:rsidP="00602EE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clash of cultures in healthcare is usually based on complicated ethical dilemmas. The practitioners need to consider their cultural beliefs and allow the official responsibility of providing quality care to their patients. The principle of autonomy means that patients should </w:t>
      </w:r>
      <w:r>
        <w:rPr>
          <w:rFonts w:ascii="Times New Roman" w:eastAsia="Times New Roman" w:hAnsi="Times New Roman" w:cs="Times New Roman"/>
          <w:sz w:val="24"/>
          <w:szCs w:val="24"/>
        </w:rPr>
        <w:lastRenderedPageBreak/>
        <w:t>be allowed to exercise their values and choices that might be opposite to biomedical advice</w:t>
      </w:r>
      <w:r w:rsidR="005C3914">
        <w:rPr>
          <w:rFonts w:ascii="Times New Roman" w:eastAsia="Times New Roman" w:hAnsi="Times New Roman" w:cs="Times New Roman"/>
          <w:sz w:val="24"/>
          <w:szCs w:val="24"/>
        </w:rPr>
        <w:t xml:space="preserve"> </w:t>
      </w:r>
      <w:r w:rsidR="005C3914" w:rsidRPr="005C3914">
        <w:rPr>
          <w:rFonts w:ascii="Times New Roman" w:eastAsia="Times New Roman" w:hAnsi="Times New Roman" w:cs="Times New Roman"/>
          <w:sz w:val="24"/>
          <w:szCs w:val="24"/>
        </w:rPr>
        <w:t>(Olchowska-Kotala et al., 2023)</w:t>
      </w:r>
      <w:r>
        <w:rPr>
          <w:rFonts w:ascii="Times New Roman" w:eastAsia="Times New Roman" w:hAnsi="Times New Roman" w:cs="Times New Roman"/>
          <w:sz w:val="24"/>
          <w:szCs w:val="24"/>
        </w:rPr>
        <w:t>. But the commitments of beneficence and nonmaleficence force the provider to act in the best interest of the patient and avoid harm. These principles need to be negotiated and worked around so that they can be navigated.</w:t>
      </w:r>
      <w:r w:rsidR="005C3914">
        <w:rPr>
          <w:rFonts w:ascii="Times New Roman" w:eastAsia="Times New Roman" w:hAnsi="Times New Roman" w:cs="Times New Roman"/>
          <w:sz w:val="24"/>
          <w:szCs w:val="24"/>
        </w:rPr>
        <w:t xml:space="preserve"> </w:t>
      </w:r>
    </w:p>
    <w:p w14:paraId="46C4778F" w14:textId="382230FE" w:rsidR="00532CED" w:rsidRDefault="00882237" w:rsidP="00602EE7">
      <w:pPr>
        <w:spacing w:line="480" w:lineRule="auto"/>
        <w:ind w:firstLine="720"/>
        <w:rPr>
          <w:rFonts w:ascii="Times New Roman" w:eastAsia="Times New Roman" w:hAnsi="Times New Roman" w:cs="Times New Roman"/>
          <w:sz w:val="24"/>
          <w:szCs w:val="24"/>
        </w:rPr>
      </w:pPr>
      <w:r w:rsidRPr="00532CED">
        <w:rPr>
          <w:rFonts w:ascii="Times New Roman" w:eastAsia="Times New Roman" w:hAnsi="Times New Roman" w:cs="Times New Roman"/>
          <w:sz w:val="24"/>
          <w:szCs w:val="24"/>
        </w:rPr>
        <w:t>A culturally sensitive approach, like in the case of Lia, mandates healthcare providers to be active in respecting and accepting the spiritual beliefs of the family and ensuring that they communicate clearly with them regarding the facts in medical terms. Instead of disowning the traditional views, providers are expected to have an open conversation that acknowledges the view of the family and establishes trust. Simultaneously, there must be a respectful and comprehensible explanation of medical risks, treatment opportunities, and effects. By promoting understanding, providers are able to reach compromises that unite biomedical directions and cultural practices. This interprofessional modeling method not only enhances medication compliance but also positive relationships, which can result in better and patient-centered care delivery.</w:t>
      </w:r>
    </w:p>
    <w:p w14:paraId="00000026" w14:textId="77777777" w:rsidR="00426354" w:rsidRDefault="00882237" w:rsidP="00602EE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Instead of making decisions, the providers ought to strive towards an element of shared decision-making. This strategy will build trust and raise the chances of adherence to the treatment. Structural barriers to healthcare institutional access, including interpreter access and time and cultural training issues, are also important systemic issues faced by healthcare institutions. Policies must be used to facilitate culturally responsive care by investing in resources and formulating accountability tools.</w:t>
      </w:r>
    </w:p>
    <w:p w14:paraId="00000027" w14:textId="7FBCAC3D" w:rsidR="00426354" w:rsidRDefault="00882237">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Part 3 </w:t>
      </w:r>
      <w:r w:rsidR="007A15A9">
        <w:rPr>
          <w:rFonts w:ascii="Times New Roman" w:eastAsia="Times New Roman" w:hAnsi="Times New Roman" w:cs="Times New Roman"/>
          <w:b/>
          <w:bCs/>
          <w:sz w:val="24"/>
          <w:szCs w:val="24"/>
        </w:rPr>
        <w:t>Personal and Global Reflection</w:t>
      </w:r>
    </w:p>
    <w:p w14:paraId="00000028" w14:textId="4F1069EA" w:rsidR="00426354" w:rsidRDefault="00882237">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 xml:space="preserve">My study of cultural competence in healthcare has greatly changed my perception of how to treat a patient, diversity, as well as the role of a healthcare provider. My opinion was mainly influenced at first by the biomedical model </w:t>
      </w:r>
      <w:r w:rsidR="008A1DA7" w:rsidRPr="005C3914">
        <w:rPr>
          <w:rFonts w:ascii="Times New Roman" w:eastAsia="Times New Roman" w:hAnsi="Times New Roman" w:cs="Times New Roman"/>
          <w:sz w:val="24"/>
          <w:szCs w:val="24"/>
        </w:rPr>
        <w:t>(Ungvarsky, 2024)</w:t>
      </w:r>
      <w:r w:rsidR="008A1D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that focuses more on diagnosis, treatment, and clinical outcomes</w:t>
      </w:r>
      <w:r w:rsidR="008A1D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Although this strategy is necessary, I have </w:t>
      </w:r>
      <w:r>
        <w:rPr>
          <w:rFonts w:ascii="Times New Roman" w:eastAsia="Times New Roman" w:hAnsi="Times New Roman" w:cs="Times New Roman"/>
          <w:sz w:val="24"/>
          <w:szCs w:val="24"/>
        </w:rPr>
        <w:lastRenderedPageBreak/>
        <w:t xml:space="preserve">developed an understanding that </w:t>
      </w:r>
      <w:r w:rsidR="005C3914">
        <w:rPr>
          <w:rFonts w:ascii="Times New Roman" w:eastAsia="Times New Roman" w:hAnsi="Times New Roman" w:cs="Times New Roman"/>
          <w:sz w:val="24"/>
          <w:szCs w:val="24"/>
        </w:rPr>
        <w:t>cultural competence</w:t>
      </w:r>
      <w:r>
        <w:rPr>
          <w:rFonts w:ascii="Times New Roman" w:eastAsia="Times New Roman" w:hAnsi="Times New Roman" w:cs="Times New Roman"/>
          <w:sz w:val="24"/>
          <w:szCs w:val="24"/>
        </w:rPr>
        <w:t xml:space="preserve"> cannot be </w:t>
      </w:r>
      <w:r w:rsidR="00C33D3B">
        <w:rPr>
          <w:rFonts w:ascii="Times New Roman" w:eastAsia="Times New Roman" w:hAnsi="Times New Roman" w:cs="Times New Roman"/>
          <w:sz w:val="24"/>
          <w:szCs w:val="24"/>
        </w:rPr>
        <w:t xml:space="preserve">established </w:t>
      </w:r>
      <w:r>
        <w:rPr>
          <w:rFonts w:ascii="Times New Roman" w:eastAsia="Times New Roman" w:hAnsi="Times New Roman" w:cs="Times New Roman"/>
          <w:sz w:val="24"/>
          <w:szCs w:val="24"/>
        </w:rPr>
        <w:t>without taking into account the cultural, social, and spiritual aspects of health. Among other significant lessons, I have learnt the</w:t>
      </w:r>
      <w:r w:rsidR="0016167E">
        <w:rPr>
          <w:rFonts w:ascii="Times New Roman" w:eastAsia="Times New Roman" w:hAnsi="Times New Roman" w:cs="Times New Roman"/>
          <w:sz w:val="24"/>
          <w:szCs w:val="24"/>
        </w:rPr>
        <w:t xml:space="preserve"> biomedical </w:t>
      </w:r>
      <w:r>
        <w:rPr>
          <w:rFonts w:ascii="Times New Roman" w:eastAsia="Times New Roman" w:hAnsi="Times New Roman" w:cs="Times New Roman"/>
          <w:sz w:val="24"/>
          <w:szCs w:val="24"/>
        </w:rPr>
        <w:t>models of patients. Before this, I believed that medical knowledge was enough to inform the decision on the treatment. Nonetheless, now I know that the patient views illness in their cultural beliefs and life experiences. The interpretations shape their care-seeking behaviour, compliance with treatment, and their relationship with medical practitioners. This discovery has completely transformed my perception of patient-centered care. Giving information medically correctly is not enough, and providers need to know how the patients perceive their condition. The open-ended questions and active listening to the opinions of the patients are crucial steps in creating trust and achieving the proper pattern of communication.</w:t>
      </w:r>
    </w:p>
    <w:p w14:paraId="00000029" w14:textId="77777777" w:rsidR="00426354" w:rsidRDefault="0088223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Cultural humility is the other major concept that transformed my thoughts. In comparison with cultural competence, cultural humility also focuses on life-long learning and self-reflection, unlike cultural competence, which can imply some capability. It is easy to develop presumptions about cultures, but such presumptions may bring even more misunderstanding and unfair treatment. I have come to understand the significance of treating patients as a person without being insensitive to culture. I have also developed awareness regarding various cultural values. Certain practices that would be incongruent with biomedical methods otherwise might have a profound cultural context. As an illustration, the traditional healing procedures can offer emotional and spiritual care that supplements medical care. Instead of disregarding such practices, the healthcare givers ought to find solutions that will enable them to incorporate them into the care plans when feasible.</w:t>
      </w:r>
    </w:p>
    <w:p w14:paraId="0000002A" w14:textId="65D1764C" w:rsidR="00426354" w:rsidRDefault="0088223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global awareness has also increased due to this change of perspective. Various healthcare systems in the world mirror the cultural norms and the societal setup. Family engagement and social care in most non-Western environments are very imperative in </w:t>
      </w:r>
      <w:r>
        <w:rPr>
          <w:rFonts w:ascii="Times New Roman" w:eastAsia="Times New Roman" w:hAnsi="Times New Roman" w:cs="Times New Roman"/>
          <w:sz w:val="24"/>
          <w:szCs w:val="24"/>
        </w:rPr>
        <w:lastRenderedPageBreak/>
        <w:t>making choices. The awareness of such differences explains why it is necessary to be able to adapt and be culturally sensitive in healthcare practice across the globe. The most influential event that I was able to learn is the influence of communication on patient outcomes. Discrimination of care can be caused by language barriers, low health literacy, and cultural misunderstanding</w:t>
      </w:r>
      <w:r w:rsidR="005C3914">
        <w:rPr>
          <w:rFonts w:ascii="Times New Roman" w:eastAsia="Times New Roman" w:hAnsi="Times New Roman" w:cs="Times New Roman"/>
          <w:sz w:val="24"/>
          <w:szCs w:val="24"/>
        </w:rPr>
        <w:t xml:space="preserve"> </w:t>
      </w:r>
      <w:r w:rsidR="005C3914" w:rsidRPr="005C3914">
        <w:rPr>
          <w:rFonts w:ascii="Times New Roman" w:eastAsia="Times New Roman" w:hAnsi="Times New Roman" w:cs="Times New Roman"/>
          <w:sz w:val="24"/>
          <w:szCs w:val="24"/>
        </w:rPr>
        <w:t>(Hughes et al., 2020)</w:t>
      </w:r>
      <w:r>
        <w:rPr>
          <w:rFonts w:ascii="Times New Roman" w:eastAsia="Times New Roman" w:hAnsi="Times New Roman" w:cs="Times New Roman"/>
          <w:sz w:val="24"/>
          <w:szCs w:val="24"/>
        </w:rPr>
        <w:t>. This makes the role of interpreters and cultural brokers in the health care environment very significant.</w:t>
      </w:r>
    </w:p>
    <w:p w14:paraId="0000002B" w14:textId="77777777" w:rsidR="00426354" w:rsidRDefault="0088223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of the beliefs and values of patients is important in establishing trust and offering effective care. Second, avoid assumptions. Every patient is an individual, and cultural competence involves personalized cognition instead of utilizing stereotypes. Third, devote oneself to lifetime learning. Cultural competence is the continuous process that needs to be reflected, curious, and open. To sum up, cultural competence and cultural humility are the key elements of effective health. They allow the providers to maneuver through the cultural diversities, enhance communication, and achieve better patient outcomes. These are the lessons that I gained when learning about cultural conflicts in healthcare that not only expanded my thinking but also proved the significance of empathy, respect, and adaptability in clinical practice.</w:t>
      </w:r>
    </w:p>
    <w:p w14:paraId="0000002C" w14:textId="77777777" w:rsidR="00426354" w:rsidRDefault="00882237">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0000002D" w14:textId="692371B2" w:rsidR="00426354" w:rsidRDefault="0088223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sum up, the Lia Lee case illustrates how cultural misconceptions may adversely affect the healthcare outcomes if the providers do not acknowledge the beliefs and values of patients. By incorporating ideas of Geri-Ann Galanti (2015)</w:t>
      </w:r>
      <w:r w:rsidR="008A1DA7">
        <w:rPr>
          <w:rFonts w:ascii="Times New Roman" w:eastAsia="Times New Roman" w:hAnsi="Times New Roman" w:cs="Times New Roman"/>
          <w:sz w:val="24"/>
          <w:szCs w:val="24"/>
        </w:rPr>
        <w:t>, such as</w:t>
      </w:r>
      <w:r>
        <w:rPr>
          <w:rFonts w:ascii="Times New Roman" w:eastAsia="Times New Roman" w:hAnsi="Times New Roman" w:cs="Times New Roman"/>
          <w:sz w:val="24"/>
          <w:szCs w:val="24"/>
        </w:rPr>
        <w:t xml:space="preserve"> cultural competence and cultural humility, successful patient care can be achieved. Cultural assessment, interpreter services, and continuous training are some of the strategies that can address the discrepancies between the patients and the providers. Also, ethical principles in combination with cultural sensitivity promote trust and teamwork. Finally, culturally responsive care is effective not </w:t>
      </w:r>
      <w:r>
        <w:rPr>
          <w:rFonts w:ascii="Times New Roman" w:eastAsia="Times New Roman" w:hAnsi="Times New Roman" w:cs="Times New Roman"/>
          <w:sz w:val="24"/>
          <w:szCs w:val="24"/>
        </w:rPr>
        <w:lastRenderedPageBreak/>
        <w:t>only to enhance communication and compliance but also to provide equitable and respectful care towards patients with various populations in the modern healthcare global environment.</w:t>
      </w:r>
      <w:r>
        <w:br w:type="page"/>
      </w:r>
    </w:p>
    <w:p w14:paraId="0000002E" w14:textId="77777777" w:rsidR="00426354" w:rsidRDefault="00882237">
      <w:pPr>
        <w:spacing w:line="480" w:lineRule="auto"/>
        <w:ind w:firstLine="7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References</w:t>
      </w:r>
    </w:p>
    <w:p w14:paraId="0000002F" w14:textId="5C810ACA" w:rsidR="00426354" w:rsidRDefault="00882237" w:rsidP="00602EE7">
      <w:pPr>
        <w:spacing w:line="480" w:lineRule="auto"/>
        <w:rPr>
          <w:rFonts w:ascii="Times New Roman" w:eastAsia="Times New Roman" w:hAnsi="Times New Roman" w:cs="Times New Roman"/>
          <w:sz w:val="24"/>
          <w:szCs w:val="24"/>
        </w:rPr>
      </w:pPr>
      <w:bookmarkStart w:id="0" w:name="_Hlk226755044"/>
      <w:r>
        <w:rPr>
          <w:rFonts w:ascii="Times New Roman" w:eastAsia="Times New Roman" w:hAnsi="Times New Roman" w:cs="Times New Roman"/>
          <w:sz w:val="24"/>
          <w:szCs w:val="24"/>
        </w:rPr>
        <w:t xml:space="preserve">Anne Fadiman. (2025). </w:t>
      </w:r>
      <w:bookmarkEnd w:id="0"/>
      <w:r>
        <w:rPr>
          <w:rFonts w:ascii="Times New Roman" w:eastAsia="Times New Roman" w:hAnsi="Times New Roman" w:cs="Times New Roman"/>
          <w:i/>
          <w:iCs/>
          <w:sz w:val="24"/>
          <w:szCs w:val="24"/>
        </w:rPr>
        <w:t>The Spirit Catches You, and You Fall: A Hmong Child, Her</w:t>
      </w:r>
      <w:r w:rsidR="005C3914">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American Doctors, and the Collision of Two Cultures | English</w:t>
      </w:r>
      <w:r>
        <w:rPr>
          <w:rFonts w:ascii="Times New Roman" w:eastAsia="Times New Roman" w:hAnsi="Times New Roman" w:cs="Times New Roman"/>
          <w:sz w:val="24"/>
          <w:szCs w:val="24"/>
        </w:rPr>
        <w:t xml:space="preserve">. English.yale.edu. </w:t>
      </w:r>
    </w:p>
    <w:p w14:paraId="00000031" w14:textId="304F3D96" w:rsidR="00426354" w:rsidRDefault="00882237" w:rsidP="00602EE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Geri-Ann Galanti. (2015). </w:t>
      </w:r>
      <w:r>
        <w:rPr>
          <w:rFonts w:ascii="Times New Roman" w:eastAsia="Times New Roman" w:hAnsi="Times New Roman" w:cs="Times New Roman"/>
          <w:i/>
          <w:iCs/>
          <w:sz w:val="24"/>
          <w:szCs w:val="24"/>
        </w:rPr>
        <w:t>Caring for Patients from Different Cultures – Penn Press</w:t>
      </w:r>
      <w:r>
        <w:rPr>
          <w:rFonts w:ascii="Times New Roman" w:eastAsia="Times New Roman" w:hAnsi="Times New Roman" w:cs="Times New Roman"/>
          <w:sz w:val="24"/>
          <w:szCs w:val="24"/>
        </w:rPr>
        <w:t>.</w:t>
      </w:r>
      <w:r w:rsidR="005C3914">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University of Pennsylvania Press. </w:t>
      </w:r>
    </w:p>
    <w:p w14:paraId="00000032" w14:textId="107C7233" w:rsidR="00426354" w:rsidRDefault="00882237" w:rsidP="00602EE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Heath, M., Hvass, A. M. F., &amp; Wejse, C. M. (2023). Interpreter services and effect on</w:t>
      </w:r>
      <w:r w:rsidR="005C3914">
        <w:rPr>
          <w:rFonts w:ascii="Times New Roman" w:eastAsia="Times New Roman" w:hAnsi="Times New Roman" w:cs="Times New Roman"/>
          <w:sz w:val="24"/>
          <w:szCs w:val="24"/>
        </w:rPr>
        <w:tab/>
      </w:r>
      <w:r>
        <w:rPr>
          <w:rFonts w:ascii="Times New Roman" w:eastAsia="Times New Roman" w:hAnsi="Times New Roman" w:cs="Times New Roman"/>
          <w:sz w:val="24"/>
          <w:szCs w:val="24"/>
        </w:rPr>
        <w:t>healthcare - a systematic review of the impact of different types of interpreters on</w:t>
      </w:r>
      <w:r w:rsidR="005C3914">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patient outcome. </w:t>
      </w:r>
      <w:r>
        <w:rPr>
          <w:rFonts w:ascii="Times New Roman" w:eastAsia="Times New Roman" w:hAnsi="Times New Roman" w:cs="Times New Roman"/>
          <w:i/>
          <w:iCs/>
          <w:sz w:val="24"/>
          <w:szCs w:val="24"/>
        </w:rPr>
        <w:t>Journal of Migration and Health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7</w:t>
      </w:r>
      <w:r>
        <w:rPr>
          <w:rFonts w:ascii="Times New Roman" w:eastAsia="Times New Roman" w:hAnsi="Times New Roman" w:cs="Times New Roman"/>
          <w:sz w:val="24"/>
          <w:szCs w:val="24"/>
        </w:rPr>
        <w:t>(100162).</w:t>
      </w:r>
      <w:r w:rsidR="005C3914">
        <w:rPr>
          <w:rFonts w:ascii="Times New Roman" w:eastAsia="Times New Roman" w:hAnsi="Times New Roman" w:cs="Times New Roman"/>
          <w:sz w:val="24"/>
          <w:szCs w:val="24"/>
        </w:rPr>
        <w:tab/>
      </w:r>
      <w:r>
        <w:rPr>
          <w:rFonts w:ascii="Times New Roman" w:eastAsia="Times New Roman" w:hAnsi="Times New Roman" w:cs="Times New Roman"/>
          <w:sz w:val="24"/>
          <w:szCs w:val="24"/>
        </w:rPr>
        <w:t>https://doi.org/10.1016/j.jmh.2023.100162</w:t>
      </w:r>
    </w:p>
    <w:p w14:paraId="00000033" w14:textId="1135B9D7" w:rsidR="00426354" w:rsidRDefault="00882237" w:rsidP="00602EE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HHS. (n.d.). </w:t>
      </w:r>
      <w:r>
        <w:rPr>
          <w:rFonts w:ascii="Times New Roman" w:eastAsia="Times New Roman" w:hAnsi="Times New Roman" w:cs="Times New Roman"/>
          <w:i/>
          <w:iCs/>
          <w:sz w:val="24"/>
          <w:szCs w:val="24"/>
        </w:rPr>
        <w:t>Arthur Kleinman’s Eight Questions</w:t>
      </w:r>
      <w:r>
        <w:rPr>
          <w:rFonts w:ascii="Times New Roman" w:eastAsia="Times New Roman" w:hAnsi="Times New Roman" w:cs="Times New Roman"/>
          <w:sz w:val="24"/>
          <w:szCs w:val="24"/>
        </w:rPr>
        <w:t>.</w:t>
      </w:r>
      <w:r w:rsidR="005C3914">
        <w:rPr>
          <w:rFonts w:ascii="Times New Roman" w:eastAsia="Times New Roman" w:hAnsi="Times New Roman" w:cs="Times New Roman"/>
          <w:sz w:val="24"/>
          <w:szCs w:val="24"/>
        </w:rPr>
        <w:tab/>
      </w:r>
      <w:hyperlink r:id="rId6" w:history="1">
        <w:r w:rsidR="005C3914" w:rsidRPr="00DB68E9">
          <w:rPr>
            <w:rStyle w:val="Hyperlink"/>
            <w:rFonts w:ascii="Times New Roman" w:eastAsia="Times New Roman" w:hAnsi="Times New Roman" w:cs="Times New Roman"/>
            <w:sz w:val="24"/>
            <w:szCs w:val="24"/>
          </w:rPr>
          <w:t>https://thinkculturalhealth.hhs.gov/assets/pdfs/resource-library/arthur-kleinmans</w:t>
        </w:r>
      </w:hyperlink>
      <w:r w:rsidR="005C3914">
        <w:rPr>
          <w:rFonts w:ascii="Times New Roman" w:eastAsia="Times New Roman" w:hAnsi="Times New Roman" w:cs="Times New Roman"/>
          <w:sz w:val="24"/>
          <w:szCs w:val="24"/>
        </w:rPr>
        <w:tab/>
      </w:r>
      <w:r>
        <w:rPr>
          <w:rFonts w:ascii="Times New Roman" w:eastAsia="Times New Roman" w:hAnsi="Times New Roman" w:cs="Times New Roman"/>
          <w:sz w:val="24"/>
          <w:szCs w:val="24"/>
        </w:rPr>
        <w:t>eight-questions.pdf</w:t>
      </w:r>
    </w:p>
    <w:p w14:paraId="00000035" w14:textId="546A654B" w:rsidR="00426354" w:rsidRDefault="00882237" w:rsidP="00602EE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Hughes, V., Delva, S., Nkimbeng, M., Spaulding, E., Turkson-Ocran, R.-A., Cudjoe, J., Ford,</w:t>
      </w:r>
      <w:r w:rsidR="005C3914">
        <w:rPr>
          <w:rFonts w:ascii="Times New Roman" w:eastAsia="Times New Roman" w:hAnsi="Times New Roman" w:cs="Times New Roman"/>
          <w:sz w:val="24"/>
          <w:szCs w:val="24"/>
        </w:rPr>
        <w:tab/>
      </w:r>
      <w:r>
        <w:rPr>
          <w:rFonts w:ascii="Times New Roman" w:eastAsia="Times New Roman" w:hAnsi="Times New Roman" w:cs="Times New Roman"/>
          <w:sz w:val="24"/>
          <w:szCs w:val="24"/>
        </w:rPr>
        <w:t>A., Rushton, C., D’Aoust, R., &amp; Han, H.-R. (2020). Not missing the opportunity:</w:t>
      </w:r>
      <w:r w:rsidR="005C3914">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Strategies to promote cultural humility among future nursing faculty. </w:t>
      </w:r>
      <w:r>
        <w:rPr>
          <w:rFonts w:ascii="Times New Roman" w:eastAsia="Times New Roman" w:hAnsi="Times New Roman" w:cs="Times New Roman"/>
          <w:i/>
          <w:iCs/>
          <w:sz w:val="24"/>
          <w:szCs w:val="24"/>
        </w:rPr>
        <w:t>Journal of</w:t>
      </w:r>
      <w:r w:rsidR="005C3914">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Professional Nursing</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36</w:t>
      </w:r>
      <w:r>
        <w:rPr>
          <w:rFonts w:ascii="Times New Roman" w:eastAsia="Times New Roman" w:hAnsi="Times New Roman" w:cs="Times New Roman"/>
          <w:sz w:val="24"/>
          <w:szCs w:val="24"/>
        </w:rPr>
        <w:t xml:space="preserve">(1), 28–33. </w:t>
      </w:r>
      <w:hyperlink r:id="rId7" w:history="1">
        <w:r w:rsidR="005C3914" w:rsidRPr="00DB68E9">
          <w:rPr>
            <w:rStyle w:val="Hyperlink"/>
            <w:rFonts w:ascii="Times New Roman" w:eastAsia="Times New Roman" w:hAnsi="Times New Roman" w:cs="Times New Roman"/>
            <w:sz w:val="24"/>
            <w:szCs w:val="24"/>
          </w:rPr>
          <w:t>https://doi.org/10.1016/j.profnurs.2019.06.005</w:t>
        </w:r>
      </w:hyperlink>
    </w:p>
    <w:p w14:paraId="59F11E8A" w14:textId="77777777" w:rsidR="005C3914" w:rsidRDefault="00882237" w:rsidP="005C3914">
      <w:pPr>
        <w:pStyle w:val="NormalWeb"/>
        <w:spacing w:before="0" w:beforeAutospacing="0" w:after="0" w:afterAutospacing="0" w:line="480" w:lineRule="auto"/>
        <w:ind w:left="720" w:hanging="720"/>
      </w:pPr>
      <w:r>
        <w:t xml:space="preserve">Olchowska-Kotala, A., Strządała, A., &amp; Barański, J. (2023). Patients’ Values and Desire for Autonomy: An Empirical Study from Poland. </w:t>
      </w:r>
      <w:r>
        <w:rPr>
          <w:i/>
          <w:iCs/>
        </w:rPr>
        <w:t>Journal of Bioethical Inquiry</w:t>
      </w:r>
      <w:r>
        <w:t xml:space="preserve">, </w:t>
      </w:r>
      <w:r>
        <w:rPr>
          <w:i/>
          <w:iCs/>
        </w:rPr>
        <w:t>20</w:t>
      </w:r>
      <w:r>
        <w:t>, 409–419. https://doi.org/10.1007/s11673-023-10241-y</w:t>
      </w:r>
    </w:p>
    <w:p w14:paraId="122D8547" w14:textId="56C1510F" w:rsidR="005C3914" w:rsidRDefault="00882237" w:rsidP="005C3914">
      <w:pPr>
        <w:pStyle w:val="NormalWeb"/>
        <w:spacing w:before="0" w:beforeAutospacing="0" w:after="0" w:afterAutospacing="0" w:line="480" w:lineRule="auto"/>
        <w:ind w:left="720" w:hanging="720"/>
      </w:pPr>
      <w:r>
        <w:t xml:space="preserve">Ungvarsky, J. (2024). </w:t>
      </w:r>
      <w:r>
        <w:rPr>
          <w:i/>
          <w:iCs/>
        </w:rPr>
        <w:t>Biomedical model of health | EBSCO</w:t>
      </w:r>
      <w:r>
        <w:t>. EBSCO Information Services, Inc. | Www.ebsco.com. https://www.ebsco.com/research-starters/consumer-health/biomedical-model-health</w:t>
      </w:r>
    </w:p>
    <w:p w14:paraId="3EFB1552" w14:textId="77777777" w:rsidR="00461E6D" w:rsidRDefault="00882237" w:rsidP="00461E6D">
      <w:pPr>
        <w:pStyle w:val="NormalWeb"/>
        <w:spacing w:before="0" w:beforeAutospacing="0" w:after="0" w:afterAutospacing="0" w:line="480" w:lineRule="auto"/>
        <w:ind w:left="720" w:hanging="720"/>
      </w:pPr>
      <w:r>
        <w:t xml:space="preserve">Vandecasteele, R., Robijn, L., Willems, S., De Maesschalck, S., &amp; Stevens, P. A. J. (2024). Barriers and Facilitators to Culturally Sensitive Care in General practice: a Reflexive </w:t>
      </w:r>
      <w:r>
        <w:lastRenderedPageBreak/>
        <w:t xml:space="preserve">Thematic Analysis. </w:t>
      </w:r>
      <w:r>
        <w:rPr>
          <w:i/>
          <w:iCs/>
        </w:rPr>
        <w:t>BMC Primary Care</w:t>
      </w:r>
      <w:r>
        <w:t xml:space="preserve">, </w:t>
      </w:r>
      <w:r>
        <w:rPr>
          <w:i/>
          <w:iCs/>
        </w:rPr>
        <w:t>25</w:t>
      </w:r>
      <w:r>
        <w:t>(1). https://doi.org/10.1186/s12875-024-02630-y</w:t>
      </w:r>
    </w:p>
    <w:p w14:paraId="416DCA06" w14:textId="77777777" w:rsidR="00461E6D" w:rsidRDefault="00882237" w:rsidP="00461E6D">
      <w:pPr>
        <w:pStyle w:val="NormalWeb"/>
        <w:spacing w:before="0" w:beforeAutospacing="0" w:after="0" w:afterAutospacing="0" w:line="480" w:lineRule="auto"/>
        <w:ind w:left="720" w:hanging="720"/>
      </w:pPr>
      <w:r>
        <w:t xml:space="preserve">Yousaf, M., Ahmad, M., Ji, D., Huang, D., &amp; Raza, S. H. (2022). A cross-cultural comparison of ethnocentrism and the intercultural willingness to communicate between two collectivistic cultures. </w:t>
      </w:r>
      <w:r>
        <w:rPr>
          <w:i/>
          <w:iCs/>
        </w:rPr>
        <w:t>Scientific Reports</w:t>
      </w:r>
      <w:r>
        <w:t xml:space="preserve">, </w:t>
      </w:r>
      <w:r>
        <w:rPr>
          <w:i/>
          <w:iCs/>
        </w:rPr>
        <w:t>12</w:t>
      </w:r>
      <w:r>
        <w:t>(1), 17087. https://doi.org/10.1038/s41598-022-21179-3</w:t>
      </w:r>
    </w:p>
    <w:p w14:paraId="2BEC1CDA" w14:textId="77777777" w:rsidR="00461E6D" w:rsidRDefault="00882237" w:rsidP="00461E6D">
      <w:pPr>
        <w:pStyle w:val="NormalWeb"/>
        <w:spacing w:before="0" w:beforeAutospacing="0" w:after="0" w:afterAutospacing="0" w:line="480" w:lineRule="auto"/>
        <w:ind w:left="720" w:hanging="720"/>
      </w:pPr>
      <w:r>
        <w:t xml:space="preserve">Zhang, Y. (2023). Hmong Spirituality, Nature, and Place. </w:t>
      </w:r>
      <w:r>
        <w:rPr>
          <w:i/>
          <w:iCs/>
        </w:rPr>
        <w:t>Religions</w:t>
      </w:r>
      <w:r>
        <w:t xml:space="preserve">, </w:t>
      </w:r>
      <w:r>
        <w:rPr>
          <w:i/>
          <w:iCs/>
        </w:rPr>
        <w:t>14</w:t>
      </w:r>
      <w:r>
        <w:t>(9), 1127–1127. https://doi.org/10.3390/rel14091127</w:t>
      </w:r>
    </w:p>
    <w:p w14:paraId="514F80D1" w14:textId="77777777" w:rsidR="00461E6D" w:rsidRDefault="00461E6D" w:rsidP="005C3914">
      <w:pPr>
        <w:pStyle w:val="NormalWeb"/>
        <w:spacing w:before="0" w:beforeAutospacing="0" w:after="0" w:afterAutospacing="0" w:line="480" w:lineRule="auto"/>
        <w:ind w:left="720" w:hanging="720"/>
      </w:pPr>
    </w:p>
    <w:p w14:paraId="370242D6" w14:textId="77777777" w:rsidR="005C3914" w:rsidRDefault="005C3914" w:rsidP="00602EE7">
      <w:pPr>
        <w:spacing w:line="480" w:lineRule="auto"/>
        <w:rPr>
          <w:rFonts w:ascii="Times New Roman" w:eastAsia="Times New Roman" w:hAnsi="Times New Roman" w:cs="Times New Roman"/>
          <w:sz w:val="24"/>
          <w:szCs w:val="24"/>
        </w:rPr>
      </w:pPr>
    </w:p>
    <w:p w14:paraId="00000036" w14:textId="77777777" w:rsidR="00426354" w:rsidRDefault="00426354">
      <w:pPr>
        <w:spacing w:line="480" w:lineRule="auto"/>
        <w:ind w:firstLine="720"/>
        <w:rPr>
          <w:rFonts w:ascii="Times New Roman" w:eastAsia="Times New Roman" w:hAnsi="Times New Roman" w:cs="Times New Roman"/>
          <w:sz w:val="24"/>
          <w:szCs w:val="24"/>
        </w:rPr>
      </w:pPr>
    </w:p>
    <w:sectPr w:rsidR="00426354">
      <w:headerReference w:type="default" r:id="rId8"/>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C7424" w14:textId="77777777" w:rsidR="002D30D2" w:rsidRDefault="00882237">
      <w:pPr>
        <w:spacing w:line="240" w:lineRule="auto"/>
      </w:pPr>
      <w:r>
        <w:separator/>
      </w:r>
    </w:p>
  </w:endnote>
  <w:endnote w:type="continuationSeparator" w:id="0">
    <w:p w14:paraId="41A3B537" w14:textId="77777777" w:rsidR="002D30D2" w:rsidRDefault="008822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FE27B13-EECF-4557-9F06-15AB92AB8D15}"/>
  </w:font>
  <w:font w:name="Cambria">
    <w:panose1 w:val="02040503050406030204"/>
    <w:charset w:val="00"/>
    <w:family w:val="roman"/>
    <w:pitch w:val="variable"/>
    <w:sig w:usb0="E00006FF" w:usb1="420024FF" w:usb2="02000000" w:usb3="00000000" w:csb0="0000019F" w:csb1="00000000"/>
    <w:embedRegular r:id="rId2" w:fontKey="{EE0439A0-2A5E-4459-BAED-CA41C06E3D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8" w14:textId="77777777" w:rsidR="00426354" w:rsidRDefault="0042635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B334B" w14:textId="77777777" w:rsidR="002D30D2" w:rsidRDefault="00882237">
      <w:pPr>
        <w:spacing w:line="240" w:lineRule="auto"/>
      </w:pPr>
      <w:r>
        <w:separator/>
      </w:r>
    </w:p>
  </w:footnote>
  <w:footnote w:type="continuationSeparator" w:id="0">
    <w:p w14:paraId="59A83451" w14:textId="77777777" w:rsidR="002D30D2" w:rsidRDefault="008822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7" w14:textId="6D047B7C" w:rsidR="00426354" w:rsidRDefault="00882237">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AE734F">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3MDUzMbK0MDY2M7BQ0lEKTi0uzszPAykwrgUAuZyq6ywAAAA="/>
  </w:docVars>
  <w:rsids>
    <w:rsidRoot w:val="00426354"/>
    <w:rsid w:val="00094962"/>
    <w:rsid w:val="000C1935"/>
    <w:rsid w:val="000C4595"/>
    <w:rsid w:val="000D4598"/>
    <w:rsid w:val="00105DCF"/>
    <w:rsid w:val="001157C0"/>
    <w:rsid w:val="00140B49"/>
    <w:rsid w:val="0016167E"/>
    <w:rsid w:val="00162885"/>
    <w:rsid w:val="00175358"/>
    <w:rsid w:val="00177548"/>
    <w:rsid w:val="0018680F"/>
    <w:rsid w:val="001C4135"/>
    <w:rsid w:val="001F589E"/>
    <w:rsid w:val="0023137D"/>
    <w:rsid w:val="00260AA2"/>
    <w:rsid w:val="002D30D2"/>
    <w:rsid w:val="002D5E1F"/>
    <w:rsid w:val="00342B0F"/>
    <w:rsid w:val="00350EC6"/>
    <w:rsid w:val="0035730C"/>
    <w:rsid w:val="00371DFA"/>
    <w:rsid w:val="00380DE6"/>
    <w:rsid w:val="003B6517"/>
    <w:rsid w:val="00402699"/>
    <w:rsid w:val="00426354"/>
    <w:rsid w:val="004279C9"/>
    <w:rsid w:val="00451320"/>
    <w:rsid w:val="00461E6D"/>
    <w:rsid w:val="004E384D"/>
    <w:rsid w:val="00521714"/>
    <w:rsid w:val="00532CED"/>
    <w:rsid w:val="0055459B"/>
    <w:rsid w:val="0056790C"/>
    <w:rsid w:val="0057330F"/>
    <w:rsid w:val="005C0D86"/>
    <w:rsid w:val="005C3914"/>
    <w:rsid w:val="005F44B6"/>
    <w:rsid w:val="00602EE7"/>
    <w:rsid w:val="006C6CF2"/>
    <w:rsid w:val="006D7962"/>
    <w:rsid w:val="00706B23"/>
    <w:rsid w:val="00760BE9"/>
    <w:rsid w:val="00785AB3"/>
    <w:rsid w:val="007A15A9"/>
    <w:rsid w:val="007D766B"/>
    <w:rsid w:val="00807543"/>
    <w:rsid w:val="008278D1"/>
    <w:rsid w:val="00882237"/>
    <w:rsid w:val="00884B3E"/>
    <w:rsid w:val="008912A3"/>
    <w:rsid w:val="00897C34"/>
    <w:rsid w:val="008A1DA7"/>
    <w:rsid w:val="00907296"/>
    <w:rsid w:val="009837D8"/>
    <w:rsid w:val="009B085F"/>
    <w:rsid w:val="00A62BFA"/>
    <w:rsid w:val="00A947F1"/>
    <w:rsid w:val="00AB2982"/>
    <w:rsid w:val="00AE0DAB"/>
    <w:rsid w:val="00AE734F"/>
    <w:rsid w:val="00B569BC"/>
    <w:rsid w:val="00B74C99"/>
    <w:rsid w:val="00B85EBE"/>
    <w:rsid w:val="00BA0238"/>
    <w:rsid w:val="00BB7E29"/>
    <w:rsid w:val="00BC2A8A"/>
    <w:rsid w:val="00C000E4"/>
    <w:rsid w:val="00C00BE1"/>
    <w:rsid w:val="00C33D3B"/>
    <w:rsid w:val="00C36E0F"/>
    <w:rsid w:val="00D10F7E"/>
    <w:rsid w:val="00DB68E9"/>
    <w:rsid w:val="00DC1AF9"/>
    <w:rsid w:val="00E11BEF"/>
    <w:rsid w:val="00E7727C"/>
    <w:rsid w:val="00E81FB5"/>
    <w:rsid w:val="00E95F4C"/>
    <w:rsid w:val="00EA5E2D"/>
    <w:rsid w:val="00EB5174"/>
    <w:rsid w:val="00EC30DF"/>
    <w:rsid w:val="00ED7A94"/>
    <w:rsid w:val="00F02547"/>
    <w:rsid w:val="00F36600"/>
    <w:rsid w:val="00FA01CA"/>
    <w:rsid w:val="00FA5C28"/>
    <w:rsid w:val="00FC1B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084B7"/>
  <w15:docId w15:val="{71809924-5E5C-427A-8F96-DC1CB6A8A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1F589E"/>
    <w:rPr>
      <w:sz w:val="16"/>
      <w:szCs w:val="16"/>
    </w:rPr>
  </w:style>
  <w:style w:type="paragraph" w:styleId="CommentText">
    <w:name w:val="annotation text"/>
    <w:basedOn w:val="Normal"/>
    <w:link w:val="CommentTextChar"/>
    <w:uiPriority w:val="99"/>
    <w:unhideWhenUsed/>
    <w:rsid w:val="001F589E"/>
    <w:pPr>
      <w:spacing w:line="240" w:lineRule="auto"/>
    </w:pPr>
    <w:rPr>
      <w:sz w:val="20"/>
      <w:szCs w:val="20"/>
    </w:rPr>
  </w:style>
  <w:style w:type="character" w:customStyle="1" w:styleId="CommentTextChar">
    <w:name w:val="Comment Text Char"/>
    <w:basedOn w:val="DefaultParagraphFont"/>
    <w:link w:val="CommentText"/>
    <w:uiPriority w:val="99"/>
    <w:rsid w:val="001F589E"/>
    <w:rPr>
      <w:sz w:val="20"/>
      <w:szCs w:val="20"/>
    </w:rPr>
  </w:style>
  <w:style w:type="paragraph" w:styleId="CommentSubject">
    <w:name w:val="annotation subject"/>
    <w:basedOn w:val="CommentText"/>
    <w:next w:val="CommentText"/>
    <w:link w:val="CommentSubjectChar"/>
    <w:uiPriority w:val="99"/>
    <w:semiHidden/>
    <w:unhideWhenUsed/>
    <w:rsid w:val="001F589E"/>
    <w:rPr>
      <w:b/>
      <w:bCs/>
    </w:rPr>
  </w:style>
  <w:style w:type="character" w:customStyle="1" w:styleId="CommentSubjectChar">
    <w:name w:val="Comment Subject Char"/>
    <w:basedOn w:val="CommentTextChar"/>
    <w:link w:val="CommentSubject"/>
    <w:uiPriority w:val="99"/>
    <w:semiHidden/>
    <w:rsid w:val="001F589E"/>
    <w:rPr>
      <w:b/>
      <w:bCs/>
      <w:sz w:val="20"/>
      <w:szCs w:val="20"/>
    </w:rPr>
  </w:style>
  <w:style w:type="character" w:styleId="Hyperlink">
    <w:name w:val="Hyperlink"/>
    <w:basedOn w:val="DefaultParagraphFont"/>
    <w:uiPriority w:val="99"/>
    <w:unhideWhenUsed/>
    <w:rsid w:val="005C3914"/>
    <w:rPr>
      <w:color w:val="0000FF" w:themeColor="hyperlink"/>
      <w:u w:val="single"/>
    </w:rPr>
  </w:style>
  <w:style w:type="character" w:styleId="UnresolvedMention">
    <w:name w:val="Unresolved Mention"/>
    <w:basedOn w:val="DefaultParagraphFont"/>
    <w:uiPriority w:val="99"/>
    <w:semiHidden/>
    <w:unhideWhenUsed/>
    <w:rsid w:val="005C3914"/>
    <w:rPr>
      <w:color w:val="605E5C"/>
      <w:shd w:val="clear" w:color="auto" w:fill="E1DFDD"/>
    </w:rPr>
  </w:style>
  <w:style w:type="paragraph" w:styleId="NormalWeb">
    <w:name w:val="Normal (Web)"/>
    <w:basedOn w:val="Normal"/>
    <w:uiPriority w:val="99"/>
    <w:semiHidden/>
    <w:unhideWhenUsed/>
    <w:rsid w:val="005C3914"/>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7597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doi.org/10.1016/j.profnurs.2019.06.005"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hinkculturalhealth.hhs.gov/assets/pdfs/resource-library/arthur-kleinmans"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2575</Words>
  <Characters>16712</Characters>
  <Application>Microsoft Office Word</Application>
  <DocSecurity>0</DocSecurity>
  <Lines>257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dc:creator>
  <cp:lastModifiedBy>User</cp:lastModifiedBy>
  <cp:revision>2</cp:revision>
  <dcterms:created xsi:type="dcterms:W3CDTF">2026-04-30T18:38:00Z</dcterms:created>
  <dcterms:modified xsi:type="dcterms:W3CDTF">2026-04-30T18:38:00Z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6dc3fd9e-c2ad-4866-a97e-fe0ba8a3cab4</vt:lpwstr>
  </property>
</Properties>
</file>