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BFDFB" w14:textId="77777777" w:rsidR="00981176" w:rsidRPr="00647259" w:rsidRDefault="00981176" w:rsidP="00647259">
      <w:pPr>
        <w:spacing w:after="0" w:line="480" w:lineRule="auto"/>
        <w:rPr>
          <w:rFonts w:ascii="Times New Roman" w:hAnsi="Times New Roman" w:cs="Times New Roman"/>
          <w:sz w:val="24"/>
          <w:szCs w:val="24"/>
        </w:rPr>
      </w:pPr>
    </w:p>
    <w:p w14:paraId="6B7B2D25" w14:textId="77777777" w:rsidR="00981176" w:rsidRPr="00647259" w:rsidRDefault="00981176" w:rsidP="00647259">
      <w:pPr>
        <w:spacing w:after="0" w:line="480" w:lineRule="auto"/>
        <w:rPr>
          <w:rFonts w:ascii="Times New Roman" w:hAnsi="Times New Roman" w:cs="Times New Roman"/>
          <w:sz w:val="24"/>
          <w:szCs w:val="24"/>
        </w:rPr>
      </w:pPr>
    </w:p>
    <w:p w14:paraId="6F7FCFA9" w14:textId="77777777" w:rsidR="00981176" w:rsidRPr="00647259" w:rsidRDefault="00981176" w:rsidP="00647259">
      <w:pPr>
        <w:spacing w:after="0" w:line="480" w:lineRule="auto"/>
        <w:rPr>
          <w:rFonts w:ascii="Times New Roman" w:hAnsi="Times New Roman" w:cs="Times New Roman"/>
          <w:sz w:val="24"/>
          <w:szCs w:val="24"/>
        </w:rPr>
      </w:pPr>
    </w:p>
    <w:p w14:paraId="154E83E7" w14:textId="77777777" w:rsidR="00981176" w:rsidRPr="00647259" w:rsidRDefault="00981176" w:rsidP="00647259">
      <w:pPr>
        <w:spacing w:after="0" w:line="480" w:lineRule="auto"/>
        <w:jc w:val="center"/>
        <w:rPr>
          <w:rFonts w:ascii="Times New Roman" w:hAnsi="Times New Roman" w:cs="Times New Roman"/>
          <w:sz w:val="24"/>
          <w:szCs w:val="24"/>
        </w:rPr>
      </w:pPr>
    </w:p>
    <w:p w14:paraId="0026F1FD" w14:textId="77777777" w:rsidR="00981176" w:rsidRPr="00647259" w:rsidRDefault="00981176" w:rsidP="00647259">
      <w:pPr>
        <w:spacing w:after="0" w:line="480" w:lineRule="auto"/>
        <w:jc w:val="center"/>
        <w:rPr>
          <w:rFonts w:ascii="Times New Roman" w:hAnsi="Times New Roman" w:cs="Times New Roman"/>
          <w:sz w:val="24"/>
          <w:szCs w:val="24"/>
        </w:rPr>
      </w:pPr>
    </w:p>
    <w:p w14:paraId="711E2BCF" w14:textId="77777777" w:rsidR="00981176" w:rsidRPr="00647259" w:rsidRDefault="00981176" w:rsidP="00647259">
      <w:pPr>
        <w:spacing w:after="0" w:line="480" w:lineRule="auto"/>
        <w:jc w:val="center"/>
        <w:rPr>
          <w:rFonts w:ascii="Times New Roman" w:hAnsi="Times New Roman" w:cs="Times New Roman"/>
          <w:sz w:val="24"/>
          <w:szCs w:val="24"/>
        </w:rPr>
      </w:pPr>
    </w:p>
    <w:p w14:paraId="2D83872F" w14:textId="77777777" w:rsidR="00981176" w:rsidRPr="00647259" w:rsidRDefault="00981176" w:rsidP="00647259">
      <w:pPr>
        <w:spacing w:after="0" w:line="480" w:lineRule="auto"/>
        <w:jc w:val="center"/>
        <w:rPr>
          <w:rFonts w:ascii="Times New Roman" w:hAnsi="Times New Roman" w:cs="Times New Roman"/>
          <w:sz w:val="24"/>
          <w:szCs w:val="24"/>
        </w:rPr>
      </w:pPr>
    </w:p>
    <w:p w14:paraId="29E5D5FD" w14:textId="77777777" w:rsidR="00981176" w:rsidRPr="00647259" w:rsidRDefault="00981176" w:rsidP="00647259">
      <w:pPr>
        <w:spacing w:after="0" w:line="480" w:lineRule="auto"/>
        <w:jc w:val="center"/>
        <w:rPr>
          <w:rFonts w:ascii="Times New Roman" w:hAnsi="Times New Roman" w:cs="Times New Roman"/>
          <w:sz w:val="24"/>
          <w:szCs w:val="24"/>
        </w:rPr>
      </w:pPr>
    </w:p>
    <w:p w14:paraId="714F226C" w14:textId="200EB92E" w:rsidR="00981176" w:rsidRPr="00647259" w:rsidRDefault="00647259" w:rsidP="00647259">
      <w:pPr>
        <w:pStyle w:val="Heading1"/>
        <w:rPr>
          <w:rFonts w:cs="Times New Roman"/>
          <w:szCs w:val="24"/>
          <w:shd w:val="clear" w:color="auto" w:fill="FFFFFF"/>
        </w:rPr>
      </w:pPr>
      <w:r w:rsidRPr="00647259">
        <w:rPr>
          <w:rFonts w:cs="Times New Roman"/>
          <w:szCs w:val="24"/>
        </w:rPr>
        <w:t>Do Probiotics Really Work</w:t>
      </w:r>
      <w:r>
        <w:rPr>
          <w:rFonts w:cs="Times New Roman"/>
          <w:szCs w:val="24"/>
        </w:rPr>
        <w:t>?</w:t>
      </w:r>
    </w:p>
    <w:p w14:paraId="03E88F6F" w14:textId="77777777" w:rsidR="00981176" w:rsidRPr="00647259" w:rsidRDefault="00981176" w:rsidP="00647259">
      <w:pPr>
        <w:spacing w:after="0" w:line="480" w:lineRule="auto"/>
        <w:jc w:val="center"/>
        <w:rPr>
          <w:rFonts w:ascii="Times New Roman" w:hAnsi="Times New Roman" w:cs="Times New Roman"/>
          <w:b/>
          <w:bCs/>
          <w:sz w:val="24"/>
          <w:szCs w:val="24"/>
        </w:rPr>
      </w:pPr>
    </w:p>
    <w:p w14:paraId="0BD35517" w14:textId="77777777" w:rsidR="00981176" w:rsidRPr="00647259" w:rsidRDefault="00981176" w:rsidP="00647259">
      <w:pPr>
        <w:spacing w:after="0" w:line="480" w:lineRule="auto"/>
        <w:jc w:val="center"/>
        <w:rPr>
          <w:rFonts w:ascii="Times New Roman" w:hAnsi="Times New Roman" w:cs="Times New Roman"/>
          <w:sz w:val="24"/>
          <w:szCs w:val="24"/>
        </w:rPr>
      </w:pPr>
      <w:r w:rsidRPr="00647259">
        <w:rPr>
          <w:rFonts w:ascii="Times New Roman" w:hAnsi="Times New Roman" w:cs="Times New Roman"/>
          <w:sz w:val="24"/>
          <w:szCs w:val="24"/>
        </w:rPr>
        <w:t>Student Name</w:t>
      </w:r>
    </w:p>
    <w:p w14:paraId="41473194" w14:textId="1E5AB7F3" w:rsidR="00981176" w:rsidRPr="00647259" w:rsidRDefault="00264CF0" w:rsidP="00264C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Section Number</w:t>
      </w:r>
    </w:p>
    <w:p w14:paraId="5DEB1A96"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72CC7081" w14:textId="27F5B5CE" w:rsidR="00981176" w:rsidRPr="00647259" w:rsidRDefault="00647259" w:rsidP="00647259">
      <w:pPr>
        <w:pStyle w:val="Heading1"/>
        <w:rPr>
          <w:rFonts w:cs="Times New Roman"/>
          <w:szCs w:val="24"/>
          <w:shd w:val="clear" w:color="auto" w:fill="FFFFFF"/>
        </w:rPr>
      </w:pPr>
      <w:r w:rsidRPr="00647259">
        <w:rPr>
          <w:rFonts w:cs="Times New Roman"/>
          <w:szCs w:val="24"/>
        </w:rPr>
        <w:lastRenderedPageBreak/>
        <w:t>Do Probiotics Really Work</w:t>
      </w:r>
      <w:r>
        <w:rPr>
          <w:rFonts w:cs="Times New Roman"/>
          <w:szCs w:val="24"/>
        </w:rPr>
        <w:t>?</w:t>
      </w:r>
    </w:p>
    <w:p w14:paraId="285055E7"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The consumer health market has become saturated with Probiotics, generating annual global revenues in the billions of dollars and commanding a growth trend that does not show any sign of a slowdown. Although this is commercial dominance, the scientific grounds of their ever-popular use are still significantly more limited than marketing suggests. Probiotics refer to living microorganisms that, when consumed in sufficient amounts, have a quantifiable health effect on the host (NIH, 2020). They are found in fermented foods, like yogurt, and are commonly sold as dietary supplements, although the clinical evidence on their use is not universal and is not necessarily transferable across products. Probiotics are a valid, but limited-in-scope clinical intervention, the efficacy of which is not just of a population-wide nature but must also be precisely aligned with strain, dose, condition, and with patient population - and, whilst there is compelling evidence to support their application in the treatment of antibiotic-associated </w:t>
      </w:r>
      <w:proofErr w:type="spellStart"/>
      <w:r w:rsidRPr="00FE0C99">
        <w:rPr>
          <w:rFonts w:ascii="Times New Roman" w:hAnsi="Times New Roman" w:cs="Times New Roman"/>
          <w:sz w:val="24"/>
          <w:szCs w:val="24"/>
        </w:rPr>
        <w:t>diarrhoea</w:t>
      </w:r>
      <w:proofErr w:type="spellEnd"/>
      <w:r w:rsidRPr="00FE0C99">
        <w:rPr>
          <w:rFonts w:ascii="Times New Roman" w:hAnsi="Times New Roman" w:cs="Times New Roman"/>
          <w:sz w:val="24"/>
          <w:szCs w:val="24"/>
        </w:rPr>
        <w:t>, irritable bowel syndrome, and ulcerative colitis, the science does not support the claim of the purported health advantage to human populations in general.</w:t>
      </w:r>
    </w:p>
    <w:p w14:paraId="2CFC4F2B" w14:textId="77777777" w:rsidR="00FE0C99" w:rsidRPr="00FE0C99" w:rsidRDefault="00FE0C99" w:rsidP="00FE0C99">
      <w:pPr>
        <w:pStyle w:val="Heading1"/>
      </w:pPr>
      <w:r w:rsidRPr="00FE0C99">
        <w:t xml:space="preserve">The Case for Probiotics in Antibiotic-Associated </w:t>
      </w:r>
      <w:proofErr w:type="spellStart"/>
      <w:r w:rsidRPr="00FE0C99">
        <w:t>Diarrhoea</w:t>
      </w:r>
      <w:proofErr w:type="spellEnd"/>
    </w:p>
    <w:p w14:paraId="6675ECB3"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The strongest and most clinically validated application of probiotic therapy is antibiotic-associated </w:t>
      </w:r>
      <w:proofErr w:type="spellStart"/>
      <w:r w:rsidRPr="00FE0C99">
        <w:rPr>
          <w:rFonts w:ascii="Times New Roman" w:hAnsi="Times New Roman" w:cs="Times New Roman"/>
          <w:sz w:val="24"/>
          <w:szCs w:val="24"/>
        </w:rPr>
        <w:t>diarrhoea</w:t>
      </w:r>
      <w:proofErr w:type="spellEnd"/>
      <w:r w:rsidRPr="00FE0C99">
        <w:rPr>
          <w:rFonts w:ascii="Times New Roman" w:hAnsi="Times New Roman" w:cs="Times New Roman"/>
          <w:sz w:val="24"/>
          <w:szCs w:val="24"/>
        </w:rPr>
        <w:t xml:space="preserve"> (AAD) and can impact up to 30% of patients in whom broad-spectrum antibiotic management is administered (Zhu et al., 2025). The reasoning behind this claim is that probiotics are effective in AAD now because they target a clearly defined, mechanistically understood interference: antibiotics are indiscriminately destroying commensal flora in the gut, creating a vacuum to be filled by opportunistic pathogens such as </w:t>
      </w:r>
      <w:proofErr w:type="spellStart"/>
      <w:r w:rsidRPr="00FE0C99">
        <w:rPr>
          <w:rFonts w:ascii="Times New Roman" w:hAnsi="Times New Roman" w:cs="Times New Roman"/>
          <w:sz w:val="24"/>
          <w:szCs w:val="24"/>
        </w:rPr>
        <w:t>Clostridioides</w:t>
      </w:r>
      <w:proofErr w:type="spellEnd"/>
      <w:r w:rsidRPr="00FE0C99">
        <w:rPr>
          <w:rFonts w:ascii="Times New Roman" w:hAnsi="Times New Roman" w:cs="Times New Roman"/>
          <w:sz w:val="24"/>
          <w:szCs w:val="24"/>
        </w:rPr>
        <w:t xml:space="preserve"> difficile. Competitive </w:t>
      </w:r>
      <w:proofErr w:type="spellStart"/>
      <w:r w:rsidRPr="00FE0C99">
        <w:rPr>
          <w:rFonts w:ascii="Times New Roman" w:hAnsi="Times New Roman" w:cs="Times New Roman"/>
          <w:sz w:val="24"/>
          <w:szCs w:val="24"/>
        </w:rPr>
        <w:t>recolonisation</w:t>
      </w:r>
      <w:proofErr w:type="spellEnd"/>
      <w:r w:rsidRPr="00FE0C99">
        <w:rPr>
          <w:rFonts w:ascii="Times New Roman" w:hAnsi="Times New Roman" w:cs="Times New Roman"/>
          <w:sz w:val="24"/>
          <w:szCs w:val="24"/>
        </w:rPr>
        <w:t xml:space="preserve"> of the intestine by a strain-specific probiotic intervention, restoration of short-chain fatty acid (SCFA) production, and reinforcing intestinal barrier proteins such as </w:t>
      </w:r>
      <w:proofErr w:type="spellStart"/>
      <w:r w:rsidRPr="00FE0C99">
        <w:rPr>
          <w:rFonts w:ascii="Times New Roman" w:hAnsi="Times New Roman" w:cs="Times New Roman"/>
          <w:sz w:val="24"/>
          <w:szCs w:val="24"/>
        </w:rPr>
        <w:lastRenderedPageBreak/>
        <w:t>occludin</w:t>
      </w:r>
      <w:proofErr w:type="spellEnd"/>
      <w:r w:rsidRPr="00FE0C99">
        <w:rPr>
          <w:rFonts w:ascii="Times New Roman" w:hAnsi="Times New Roman" w:cs="Times New Roman"/>
          <w:sz w:val="24"/>
          <w:szCs w:val="24"/>
        </w:rPr>
        <w:t xml:space="preserve"> and claudin, which are degraded by antibiotics, closes this window of vulnerability ( Mazziotta et al., 2023).</w:t>
      </w:r>
    </w:p>
    <w:p w14:paraId="55068530" w14:textId="7162A501"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The support going towards this argument is first-hand and scientifically rigorous. The intervention was a </w:t>
      </w:r>
      <w:proofErr w:type="spellStart"/>
      <w:r w:rsidRPr="00FE0C99">
        <w:rPr>
          <w:rFonts w:ascii="Times New Roman" w:hAnsi="Times New Roman" w:cs="Times New Roman"/>
          <w:sz w:val="24"/>
          <w:szCs w:val="24"/>
        </w:rPr>
        <w:t>randomised</w:t>
      </w:r>
      <w:proofErr w:type="spellEnd"/>
      <w:r w:rsidRPr="00FE0C99">
        <w:rPr>
          <w:rFonts w:ascii="Times New Roman" w:hAnsi="Times New Roman" w:cs="Times New Roman"/>
          <w:sz w:val="24"/>
          <w:szCs w:val="24"/>
        </w:rPr>
        <w:t>, placebo-controlled trial of adult patients taking amoxicillin in proportion with 2 × 10</w:t>
      </w:r>
      <w:r w:rsidRPr="00FE0C99">
        <w:rPr>
          <w:rFonts w:ascii="Times New Roman" w:hAnsi="Times New Roman" w:cs="Times New Roman"/>
          <w:sz w:val="24"/>
          <w:szCs w:val="24"/>
          <w:vertAlign w:val="superscript"/>
        </w:rPr>
        <w:t>9</w:t>
      </w:r>
      <w:r w:rsidRPr="00FE0C99">
        <w:rPr>
          <w:rFonts w:ascii="Times New Roman" w:hAnsi="Times New Roman" w:cs="Times New Roman"/>
          <w:sz w:val="24"/>
          <w:szCs w:val="24"/>
        </w:rPr>
        <w:t xml:space="preserve"> colony-forming units of Lactobacillus acidophilus LA85 daily</w:t>
      </w:r>
      <w:r w:rsidRPr="00FE0C99">
        <w:rPr>
          <w:rFonts w:ascii="Times New Roman" w:hAnsi="Times New Roman" w:cs="Times New Roman"/>
          <w:sz w:val="24"/>
          <w:szCs w:val="24"/>
        </w:rPr>
        <w:t xml:space="preserve"> (</w:t>
      </w:r>
      <w:r w:rsidRPr="00FE0C99">
        <w:rPr>
          <w:rFonts w:ascii="Times New Roman" w:hAnsi="Times New Roman" w:cs="Times New Roman"/>
          <w:sz w:val="24"/>
          <w:szCs w:val="24"/>
        </w:rPr>
        <w:t>Zhu et al.</w:t>
      </w:r>
      <w:r w:rsidRPr="00FE0C99">
        <w:rPr>
          <w:rFonts w:ascii="Times New Roman" w:hAnsi="Times New Roman" w:cs="Times New Roman"/>
          <w:sz w:val="24"/>
          <w:szCs w:val="24"/>
        </w:rPr>
        <w:t xml:space="preserve">, </w:t>
      </w:r>
      <w:r w:rsidRPr="00FE0C99">
        <w:rPr>
          <w:rFonts w:ascii="Times New Roman" w:hAnsi="Times New Roman" w:cs="Times New Roman"/>
          <w:sz w:val="24"/>
          <w:szCs w:val="24"/>
        </w:rPr>
        <w:t xml:space="preserve">2025). The findings indicated that the percentage of occurrence as well as the period of existence of the </w:t>
      </w:r>
      <w:proofErr w:type="spellStart"/>
      <w:r w:rsidRPr="00FE0C99">
        <w:rPr>
          <w:rFonts w:ascii="Times New Roman" w:hAnsi="Times New Roman" w:cs="Times New Roman"/>
          <w:sz w:val="24"/>
          <w:szCs w:val="24"/>
        </w:rPr>
        <w:t>diarrhoeal</w:t>
      </w:r>
      <w:proofErr w:type="spellEnd"/>
      <w:r w:rsidRPr="00FE0C99">
        <w:rPr>
          <w:rFonts w:ascii="Times New Roman" w:hAnsi="Times New Roman" w:cs="Times New Roman"/>
          <w:sz w:val="24"/>
          <w:szCs w:val="24"/>
        </w:rPr>
        <w:t xml:space="preserve"> episodes were significantly decreased compared to the incidence and protracted duration of </w:t>
      </w:r>
      <w:proofErr w:type="spellStart"/>
      <w:r w:rsidRPr="00FE0C99">
        <w:rPr>
          <w:rFonts w:ascii="Times New Roman" w:hAnsi="Times New Roman" w:cs="Times New Roman"/>
          <w:sz w:val="24"/>
          <w:szCs w:val="24"/>
        </w:rPr>
        <w:t>diarrhoeal</w:t>
      </w:r>
      <w:proofErr w:type="spellEnd"/>
      <w:r w:rsidRPr="00FE0C99">
        <w:rPr>
          <w:rFonts w:ascii="Times New Roman" w:hAnsi="Times New Roman" w:cs="Times New Roman"/>
          <w:sz w:val="24"/>
          <w:szCs w:val="24"/>
        </w:rPr>
        <w:t xml:space="preserve"> episodes among those supplemented with LA85. More importantly, the results were achieved in controlled experimental procedures involving objectively measured final outcomes, giving the results clinical weight more than that of anecdotal evidence. The biological route is clear that Lactobacillus strains </w:t>
      </w:r>
      <w:proofErr w:type="spellStart"/>
      <w:r w:rsidRPr="00FE0C99">
        <w:rPr>
          <w:rFonts w:ascii="Times New Roman" w:hAnsi="Times New Roman" w:cs="Times New Roman"/>
          <w:sz w:val="24"/>
          <w:szCs w:val="24"/>
        </w:rPr>
        <w:t>recolonise</w:t>
      </w:r>
      <w:proofErr w:type="spellEnd"/>
      <w:r w:rsidRPr="00FE0C99">
        <w:rPr>
          <w:rFonts w:ascii="Times New Roman" w:hAnsi="Times New Roman" w:cs="Times New Roman"/>
          <w:sz w:val="24"/>
          <w:szCs w:val="24"/>
        </w:rPr>
        <w:t xml:space="preserve"> a disturbed microbiome, resume processes of SCFA synthesis that have been suppressed by antibiotics, and outcompete the opportunistic organisms until the fixation of the pathogenic </w:t>
      </w:r>
      <w:proofErr w:type="spellStart"/>
      <w:r w:rsidRPr="00FE0C99">
        <w:rPr>
          <w:rFonts w:ascii="Times New Roman" w:hAnsi="Times New Roman" w:cs="Times New Roman"/>
          <w:sz w:val="24"/>
          <w:szCs w:val="24"/>
        </w:rPr>
        <w:t>colonisation</w:t>
      </w:r>
      <w:proofErr w:type="spellEnd"/>
      <w:r w:rsidRPr="00FE0C99">
        <w:rPr>
          <w:rFonts w:ascii="Times New Roman" w:hAnsi="Times New Roman" w:cs="Times New Roman"/>
          <w:sz w:val="24"/>
          <w:szCs w:val="24"/>
        </w:rPr>
        <w:t xml:space="preserve"> can take place. This is a probiotic treatment that acts in the exact manner the science predicts, that is, a specific strain of what is matched to a specific disruption resulting in a measurable clinical outcome. Its implication to the central thesis is definitive; in AAD, probiotics do work, and they do so through a mechanism that is coherent, reproducible, and strain-dependent as opposed to generic.</w:t>
      </w:r>
    </w:p>
    <w:p w14:paraId="76306D6F" w14:textId="77777777" w:rsidR="00FE0C99" w:rsidRPr="00FE0C99" w:rsidRDefault="00FE0C99" w:rsidP="00FE0C99">
      <w:pPr>
        <w:pStyle w:val="Heading1"/>
      </w:pPr>
      <w:r w:rsidRPr="00FE0C99">
        <w:t>The Case for Probiotics in Irritable Bowel Syndrome (IBS)</w:t>
      </w:r>
    </w:p>
    <w:p w14:paraId="3AE323DA"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IBS is a condition that afflicts between 10 and 15 percent of the global population and is </w:t>
      </w:r>
      <w:proofErr w:type="spellStart"/>
      <w:r w:rsidRPr="00FE0C99">
        <w:rPr>
          <w:rFonts w:ascii="Times New Roman" w:hAnsi="Times New Roman" w:cs="Times New Roman"/>
          <w:sz w:val="24"/>
          <w:szCs w:val="24"/>
        </w:rPr>
        <w:t>characterised</w:t>
      </w:r>
      <w:proofErr w:type="spellEnd"/>
      <w:r w:rsidRPr="00FE0C99">
        <w:rPr>
          <w:rFonts w:ascii="Times New Roman" w:hAnsi="Times New Roman" w:cs="Times New Roman"/>
          <w:sz w:val="24"/>
          <w:szCs w:val="24"/>
        </w:rPr>
        <w:t xml:space="preserve"> by stomach pain, bloating, and bowel malformations as a result of gut dysbiosis, increased intestinal permeability, and dysregulation of the gut-brain axis - specifically the pathophysiological aspects of the condition that targeted probiotic strains have been shown to </w:t>
      </w:r>
      <w:r w:rsidRPr="00FE0C99">
        <w:rPr>
          <w:rFonts w:ascii="Times New Roman" w:hAnsi="Times New Roman" w:cs="Times New Roman"/>
          <w:sz w:val="24"/>
          <w:szCs w:val="24"/>
        </w:rPr>
        <w:lastRenderedPageBreak/>
        <w:t>address (Chen et al., 2023). The fact that probiotics can be effective in IBS makes sense; the condition is associated with a destabilized microbial environment, of which some strains reconcile the situation by producing SCFA, bolstering the barrier, and calibrating immunity. The effectiveness is, however, strain-specific, dose-duration-dependent, and symptom-contingent. This complication does not impair the position in support of probiotics, but it narrows it.</w:t>
      </w:r>
    </w:p>
    <w:p w14:paraId="36E324A8"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Chen et al. (2023) performed a systematic review and three-level meta-analysis and discovered that there was a statistically significant medium effect of global IBS symptom improvement using probiotics compared to placebo. It has clinical significance in a disease with limited pharmacological interventions and a significant worsening of the quality of life of its population. Importantly, the analysis found that smaller effect sizes were related to treatment durations of less than four weeks and treatment with Bacillus-genus probiotics, which points to the fact that both strain selection and treatment regimen have an influence on outcomes. Xie et al. (2023) further analyzed the studies by categorizing them by outcome-specific efficacy across individual strains and combinations, and found that no single probiotic agent dominated across all the dimensions of symptoms in IBS, namely the individual strains and combinations. A patient who presents with the chief complaint of visceral pain will thus require a different strain than one with a chief complaint of bloating. This specificity is not found in the overwhelming majority of commercial multi-strain products of probiotics, relying on generic multi-strain products, which are not supported by condition-specific clinical evidence. The concern was further validated by Wu et al. (2024), who found that although specific strain and combination of Bifidobacterium and Lactobacillus consistently outperformed placebo, effect sizes differed significantly, by strain and combination, and that genus-level labelling, the standard on retail packaging, cannot be treated as a proxy of clinical efficacy. The evidence supports the idea that </w:t>
      </w:r>
      <w:r w:rsidRPr="00FE0C99">
        <w:rPr>
          <w:rFonts w:ascii="Times New Roman" w:hAnsi="Times New Roman" w:cs="Times New Roman"/>
          <w:sz w:val="24"/>
          <w:szCs w:val="24"/>
        </w:rPr>
        <w:lastRenderedPageBreak/>
        <w:t>probiotics do indeed work in IBS, as long as the appropriate strain is matched to the appropriate symptom pattern, a criterion routinely not met by consumer products.</w:t>
      </w:r>
    </w:p>
    <w:p w14:paraId="43021F4B" w14:textId="77777777" w:rsidR="00FE0C99" w:rsidRPr="00FE0C99" w:rsidRDefault="00FE0C99" w:rsidP="00FE0C99">
      <w:pPr>
        <w:pStyle w:val="Heading1"/>
      </w:pPr>
      <w:r w:rsidRPr="00FE0C99">
        <w:t>The Case for Probiotics in Inflammatory Bowel Disease</w:t>
      </w:r>
    </w:p>
    <w:p w14:paraId="4377470E"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The space between ulcerative colitis (UC) and Crohn's disease (CD) is a clear boundary of the evidence base in probiotics; the two differ sharply in terms of their evidence base. The thesis here is not that probiotics work in terms of immunological processes that are specific, reproducible, and clinically validated in the pathogenesis of IBD, but that they are working to do so through legitimate disease-modifying immunologic </w:t>
      </w:r>
      <w:proofErr w:type="spellStart"/>
      <w:r w:rsidRPr="00FE0C99">
        <w:rPr>
          <w:rFonts w:ascii="Times New Roman" w:hAnsi="Times New Roman" w:cs="Times New Roman"/>
          <w:sz w:val="24"/>
          <w:szCs w:val="24"/>
        </w:rPr>
        <w:t>processesreproducible</w:t>
      </w:r>
      <w:proofErr w:type="spellEnd"/>
      <w:r w:rsidRPr="00FE0C99">
        <w:rPr>
          <w:rFonts w:ascii="Times New Roman" w:hAnsi="Times New Roman" w:cs="Times New Roman"/>
          <w:sz w:val="24"/>
          <w:szCs w:val="24"/>
        </w:rPr>
        <w:t xml:space="preserve"> and specific through immunologic </w:t>
      </w:r>
      <w:proofErr w:type="spellStart"/>
      <w:r w:rsidRPr="00FE0C99">
        <w:rPr>
          <w:rFonts w:ascii="Times New Roman" w:hAnsi="Times New Roman" w:cs="Times New Roman"/>
          <w:sz w:val="24"/>
          <w:szCs w:val="24"/>
        </w:rPr>
        <w:t>mechanismsthat</w:t>
      </w:r>
      <w:proofErr w:type="spellEnd"/>
      <w:r w:rsidRPr="00FE0C99">
        <w:rPr>
          <w:rFonts w:ascii="Times New Roman" w:hAnsi="Times New Roman" w:cs="Times New Roman"/>
          <w:sz w:val="24"/>
          <w:szCs w:val="24"/>
        </w:rPr>
        <w:t xml:space="preserve"> are specific and reproducible and which are clinically verified in the pathogenesis of UC.</w:t>
      </w:r>
    </w:p>
    <w:p w14:paraId="51EDB083"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Ma et al. (2024) carried out an extensive review of clinical trials showing strong evidence that Escherichia coli </w:t>
      </w:r>
      <w:proofErr w:type="spellStart"/>
      <w:r w:rsidRPr="00FE0C99">
        <w:rPr>
          <w:rFonts w:ascii="Times New Roman" w:hAnsi="Times New Roman" w:cs="Times New Roman"/>
          <w:sz w:val="24"/>
          <w:szCs w:val="24"/>
        </w:rPr>
        <w:t>Nissle</w:t>
      </w:r>
      <w:proofErr w:type="spellEnd"/>
      <w:r w:rsidRPr="00FE0C99">
        <w:rPr>
          <w:rFonts w:ascii="Times New Roman" w:hAnsi="Times New Roman" w:cs="Times New Roman"/>
          <w:sz w:val="24"/>
          <w:szCs w:val="24"/>
        </w:rPr>
        <w:t xml:space="preserve"> 1917 maintains remission in UC in mild-to-moderate active forms. The mechanisms by which these effects are attained are diminished oxidative stress in the inflamed mucosa, restoration of tight junction protein expression, and anti-inflammatory cytokine regulation -that is, up- regulating interleukin-10, and down- regulating </w:t>
      </w:r>
      <w:proofErr w:type="spellStart"/>
      <w:r w:rsidRPr="00FE0C99">
        <w:rPr>
          <w:rFonts w:ascii="Times New Roman" w:hAnsi="Times New Roman" w:cs="Times New Roman"/>
          <w:sz w:val="24"/>
          <w:szCs w:val="24"/>
        </w:rPr>
        <w:t>tumour</w:t>
      </w:r>
      <w:proofErr w:type="spellEnd"/>
      <w:r w:rsidRPr="00FE0C99">
        <w:rPr>
          <w:rFonts w:ascii="Times New Roman" w:hAnsi="Times New Roman" w:cs="Times New Roman"/>
          <w:sz w:val="24"/>
          <w:szCs w:val="24"/>
        </w:rPr>
        <w:t xml:space="preserve"> necrosis factor-alpha interaction with gut-associated lymphoid tissue (GALT). They are not adjunct effects; they are true disease-modified products of a recalibration of the immune system, as opposed to pharmacological repression. The clinical implication, then, is that in UC, probiotics work on the underlying immunological imbalance and not the symptoms that it alleviates. In comparison to that, Ma et al. (2024) are categorical that evidence of probiotics in Crohn's disease is inconclusive, and with the current </w:t>
      </w:r>
      <w:proofErr w:type="spellStart"/>
      <w:r w:rsidRPr="00FE0C99">
        <w:rPr>
          <w:rFonts w:ascii="Times New Roman" w:hAnsi="Times New Roman" w:cs="Times New Roman"/>
          <w:sz w:val="24"/>
          <w:szCs w:val="24"/>
        </w:rPr>
        <w:t>randomised</w:t>
      </w:r>
      <w:proofErr w:type="spellEnd"/>
      <w:r w:rsidRPr="00FE0C99">
        <w:rPr>
          <w:rFonts w:ascii="Times New Roman" w:hAnsi="Times New Roman" w:cs="Times New Roman"/>
          <w:sz w:val="24"/>
          <w:szCs w:val="24"/>
        </w:rPr>
        <w:t xml:space="preserve"> controlled trials, there are insufficient findings to support definitive clinical recommendations. Such an asymmetry — strong evidence in UC, no evidence in CD - is the ruling principle of all the probiotic literature: the efficacy is narrow, </w:t>
      </w:r>
      <w:r w:rsidRPr="00FE0C99">
        <w:rPr>
          <w:rFonts w:ascii="Times New Roman" w:hAnsi="Times New Roman" w:cs="Times New Roman"/>
          <w:sz w:val="24"/>
          <w:szCs w:val="24"/>
        </w:rPr>
        <w:lastRenderedPageBreak/>
        <w:t xml:space="preserve">condition-specific, and cannot be </w:t>
      </w:r>
      <w:proofErr w:type="spellStart"/>
      <w:r w:rsidRPr="00FE0C99">
        <w:rPr>
          <w:rFonts w:ascii="Times New Roman" w:hAnsi="Times New Roman" w:cs="Times New Roman"/>
          <w:sz w:val="24"/>
          <w:szCs w:val="24"/>
        </w:rPr>
        <w:t>generalised</w:t>
      </w:r>
      <w:proofErr w:type="spellEnd"/>
      <w:r w:rsidRPr="00FE0C99">
        <w:rPr>
          <w:rFonts w:ascii="Times New Roman" w:hAnsi="Times New Roman" w:cs="Times New Roman"/>
          <w:sz w:val="24"/>
          <w:szCs w:val="24"/>
        </w:rPr>
        <w:t xml:space="preserve"> across disease entities which share the same diagnostic category. The evidence, however, recommends probiotics as a specific and targeted tool in UC and alongside cautions against its extrapolation to other conditions when evidence base does not exist.</w:t>
      </w:r>
    </w:p>
    <w:p w14:paraId="269975EC" w14:textId="0781941F" w:rsidR="00FE0C99" w:rsidRPr="00FE0C99" w:rsidRDefault="00FE0C99" w:rsidP="00FE0C99">
      <w:pPr>
        <w:pStyle w:val="Heading1"/>
      </w:pPr>
      <w:r w:rsidRPr="00FE0C99">
        <w:t xml:space="preserve">In </w:t>
      </w:r>
      <w:r>
        <w:t>C</w:t>
      </w:r>
      <w:r w:rsidRPr="00FE0C99">
        <w:t xml:space="preserve">ases where the Evidence does not </w:t>
      </w:r>
      <w:r>
        <w:t>E</w:t>
      </w:r>
      <w:r w:rsidRPr="00FE0C99">
        <w:t xml:space="preserve">ndorse </w:t>
      </w:r>
      <w:r>
        <w:t>P</w:t>
      </w:r>
      <w:r w:rsidRPr="00FE0C99">
        <w:t>robiotics</w:t>
      </w:r>
    </w:p>
    <w:p w14:paraId="684D9A86"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The most far-reaching weakness of the evidence base of probiotics lies in the fact that there is a systematic failure to distinguish different strains - a failure that misleads both consumer behaviour and clinical interpretation. Wu et al. (2024) have shown that meta-analyses that combine disparate strains using common genus names exaggerate apparent efficacy by combining, at the same time, highly active strains with those that do not generate any measurable benefit. Its clinical implication is dire: evidence obtained using validated clinical strains like Lactobacillus </w:t>
      </w:r>
      <w:proofErr w:type="spellStart"/>
      <w:r w:rsidRPr="00FE0C99">
        <w:rPr>
          <w:rFonts w:ascii="Times New Roman" w:hAnsi="Times New Roman" w:cs="Times New Roman"/>
          <w:sz w:val="24"/>
          <w:szCs w:val="24"/>
        </w:rPr>
        <w:t>rhamnosus</w:t>
      </w:r>
      <w:proofErr w:type="spellEnd"/>
      <w:r w:rsidRPr="00FE0C99">
        <w:rPr>
          <w:rFonts w:ascii="Times New Roman" w:hAnsi="Times New Roman" w:cs="Times New Roman"/>
          <w:sz w:val="24"/>
          <w:szCs w:val="24"/>
        </w:rPr>
        <w:t xml:space="preserve"> GG or Saccharomyces </w:t>
      </w:r>
      <w:proofErr w:type="spellStart"/>
      <w:r w:rsidRPr="00FE0C99">
        <w:rPr>
          <w:rFonts w:ascii="Times New Roman" w:hAnsi="Times New Roman" w:cs="Times New Roman"/>
          <w:sz w:val="24"/>
          <w:szCs w:val="24"/>
        </w:rPr>
        <w:t>boulardii</w:t>
      </w:r>
      <w:proofErr w:type="spellEnd"/>
      <w:r w:rsidRPr="00FE0C99">
        <w:rPr>
          <w:rFonts w:ascii="Times New Roman" w:hAnsi="Times New Roman" w:cs="Times New Roman"/>
          <w:sz w:val="24"/>
          <w:szCs w:val="24"/>
        </w:rPr>
        <w:t xml:space="preserve"> CNCM I-745 cannot be extrapolated to unstudied strains found in commercial supplements, but such extrapolation is exactly what commercial marketing is most encouraging consumers to do.</w:t>
      </w:r>
    </w:p>
    <w:p w14:paraId="042E04F0"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The second critical boundary is about healthy populations, which form the greatest part of probiotic consumers in the world. Merenstein et al. (2024) applied evidence standards as a USPSTF to evaluate the use of probiotics as an evidence-based prevention approach that needs to be implemented widely. Their conclusion was clear: although sufficient evidence exists to support particular probiotic strains with particular clinical indications, such as AAD prevention and reduction of respiratory tract infections in defined subgroups, current evidence cannot support the population-wide preventive recommendations. Merenstein et al. (2024) further clarify that the lack of evidence on the use of probiotics by healthy populations does not amount to evidence of non-efficacy; the field of research on probiotics and their use by healthy </w:t>
      </w:r>
      <w:r w:rsidRPr="00FE0C99">
        <w:rPr>
          <w:rFonts w:ascii="Times New Roman" w:hAnsi="Times New Roman" w:cs="Times New Roman"/>
          <w:sz w:val="24"/>
          <w:szCs w:val="24"/>
        </w:rPr>
        <w:lastRenderedPageBreak/>
        <w:t xml:space="preserve">populations is comparatively young, and many questions regarding the use of probiotics at the population level remain unanswered. This difference is significant: the lack of evidence is the basis of the argument against blanket use of probiotics in healthy people, not evidence that probiotics should not be used in these cases. This uncertainty has to be </w:t>
      </w:r>
      <w:proofErr w:type="spellStart"/>
      <w:r w:rsidRPr="00FE0C99">
        <w:rPr>
          <w:rFonts w:ascii="Times New Roman" w:hAnsi="Times New Roman" w:cs="Times New Roman"/>
          <w:sz w:val="24"/>
          <w:szCs w:val="24"/>
        </w:rPr>
        <w:t>manoeuvred</w:t>
      </w:r>
      <w:proofErr w:type="spellEnd"/>
      <w:r w:rsidRPr="00FE0C99">
        <w:rPr>
          <w:rFonts w:ascii="Times New Roman" w:hAnsi="Times New Roman" w:cs="Times New Roman"/>
          <w:sz w:val="24"/>
          <w:szCs w:val="24"/>
        </w:rPr>
        <w:t xml:space="preserve"> by the consumers and clinicians alike without collapsing into wholesale eulogies or wholesale invectives.</w:t>
      </w:r>
    </w:p>
    <w:p w14:paraId="74802122"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A third and arguably most important boundary relates to the regulatory landscape under which the probiotic products are packaged. In most jurisdictions, including the United States and the United Kingdom, probiotic supplements do not have to demonstrate clinical efficacy before making it to the market. Manufacturers are thus legally allowed to sell commercially products that do contain strains never tested in </w:t>
      </w:r>
      <w:proofErr w:type="spellStart"/>
      <w:r w:rsidRPr="00FE0C99">
        <w:rPr>
          <w:rFonts w:ascii="Times New Roman" w:hAnsi="Times New Roman" w:cs="Times New Roman"/>
          <w:sz w:val="24"/>
          <w:szCs w:val="24"/>
        </w:rPr>
        <w:t>randomised</w:t>
      </w:r>
      <w:proofErr w:type="spellEnd"/>
      <w:r w:rsidRPr="00FE0C99">
        <w:rPr>
          <w:rFonts w:ascii="Times New Roman" w:hAnsi="Times New Roman" w:cs="Times New Roman"/>
          <w:sz w:val="24"/>
          <w:szCs w:val="24"/>
        </w:rPr>
        <w:t xml:space="preserve"> controlled trials, in doses never tested in </w:t>
      </w:r>
      <w:proofErr w:type="spellStart"/>
      <w:r w:rsidRPr="00FE0C99">
        <w:rPr>
          <w:rFonts w:ascii="Times New Roman" w:hAnsi="Times New Roman" w:cs="Times New Roman"/>
          <w:sz w:val="24"/>
          <w:szCs w:val="24"/>
        </w:rPr>
        <w:t>randomised</w:t>
      </w:r>
      <w:proofErr w:type="spellEnd"/>
      <w:r w:rsidRPr="00FE0C99">
        <w:rPr>
          <w:rFonts w:ascii="Times New Roman" w:hAnsi="Times New Roman" w:cs="Times New Roman"/>
          <w:sz w:val="24"/>
          <w:szCs w:val="24"/>
        </w:rPr>
        <w:t xml:space="preserve"> controlled trials, to treat conditions where no peer-reviewed literature exists. Merenstein et al. (2024) emphasize that this regulatory loophole implies that the vast majority of commercially available probiotic products have been thrown through this regulatory gap: they are not proven effective, nor proven harmful, just remain untested. The resultant effect on consumers is that buying choices are mainly governed by marketing jargon, instead of by clinical evidence that establishes whether a product is predictable and legitimate or not. As long as regulatory frameworks insist on strain-specific, indication-specific evidence as a precondition to health claims, the gap between a clinically proven probiotic therapy and commercially available probiotic products will continue to be a wide one - and the consumers will continue to pay the price of that gap in money and misplaced health expectations.</w:t>
      </w:r>
    </w:p>
    <w:p w14:paraId="72840D29" w14:textId="77777777" w:rsidR="00FE0C99" w:rsidRPr="00FE0C99" w:rsidRDefault="00FE0C99" w:rsidP="00FE0C99">
      <w:pPr>
        <w:pStyle w:val="Heading1"/>
      </w:pPr>
      <w:r w:rsidRPr="00FE0C99">
        <w:lastRenderedPageBreak/>
        <w:t>Conclusion</w:t>
      </w:r>
    </w:p>
    <w:p w14:paraId="4EF9C8D1"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Whether probiotics work or not is neither yes nor no, but conditional. Probiotics are a clinically valid intervention, the effectiveness of which depends on the accurate matching of strain, doses, condition, and patients. The evidence discussed throughout this paper supports the fact that particular probiotic strains have quantifiable, reproducible beneficial effects in antibiotic-associated </w:t>
      </w:r>
      <w:proofErr w:type="spellStart"/>
      <w:r w:rsidRPr="00FE0C99">
        <w:rPr>
          <w:rFonts w:ascii="Times New Roman" w:hAnsi="Times New Roman" w:cs="Times New Roman"/>
          <w:sz w:val="24"/>
          <w:szCs w:val="24"/>
        </w:rPr>
        <w:t>diarrhoea</w:t>
      </w:r>
      <w:proofErr w:type="spellEnd"/>
      <w:r w:rsidRPr="00FE0C99">
        <w:rPr>
          <w:rFonts w:ascii="Times New Roman" w:hAnsi="Times New Roman" w:cs="Times New Roman"/>
          <w:sz w:val="24"/>
          <w:szCs w:val="24"/>
        </w:rPr>
        <w:t xml:space="preserve">, irritable bowel syndrome, and ulcerative colitis, and work by coherent biological mechanisms including the production of SCFA, fortification of the intestinal barrier, and immune-modulation. These are not speculative but are the results of </w:t>
      </w:r>
      <w:proofErr w:type="spellStart"/>
      <w:r w:rsidRPr="00FE0C99">
        <w:rPr>
          <w:rFonts w:ascii="Times New Roman" w:hAnsi="Times New Roman" w:cs="Times New Roman"/>
          <w:sz w:val="24"/>
          <w:szCs w:val="24"/>
        </w:rPr>
        <w:t>randomised</w:t>
      </w:r>
      <w:proofErr w:type="spellEnd"/>
      <w:r w:rsidRPr="00FE0C99">
        <w:rPr>
          <w:rFonts w:ascii="Times New Roman" w:hAnsi="Times New Roman" w:cs="Times New Roman"/>
          <w:sz w:val="24"/>
          <w:szCs w:val="24"/>
        </w:rPr>
        <w:t xml:space="preserve"> controlled trials and systematic reviews under stringent methodological criteria. The data is no less clear, however, that efficacy is strain-specific, that no findings can be </w:t>
      </w:r>
      <w:proofErr w:type="spellStart"/>
      <w:r w:rsidRPr="00FE0C99">
        <w:rPr>
          <w:rFonts w:ascii="Times New Roman" w:hAnsi="Times New Roman" w:cs="Times New Roman"/>
          <w:sz w:val="24"/>
          <w:szCs w:val="24"/>
        </w:rPr>
        <w:t>generalised</w:t>
      </w:r>
      <w:proofErr w:type="spellEnd"/>
      <w:r w:rsidRPr="00FE0C99">
        <w:rPr>
          <w:rFonts w:ascii="Times New Roman" w:hAnsi="Times New Roman" w:cs="Times New Roman"/>
          <w:sz w:val="24"/>
          <w:szCs w:val="24"/>
        </w:rPr>
        <w:t xml:space="preserve"> across different strains or conditions, and that whether to prevent all, in all populations, is as much a question of efficacy as it is of dose. Probiotics are effective, but not generally, but exactly and only.</w:t>
      </w:r>
    </w:p>
    <w:p w14:paraId="1D9FC65A" w14:textId="11A2A994" w:rsidR="00E13395" w:rsidRPr="00647259" w:rsidRDefault="00E13395" w:rsidP="00647259">
      <w:pPr>
        <w:spacing w:after="0" w:line="480" w:lineRule="auto"/>
        <w:ind w:firstLine="720"/>
        <w:rPr>
          <w:rFonts w:ascii="Times New Roman" w:hAnsi="Times New Roman" w:cs="Times New Roman"/>
          <w:sz w:val="24"/>
          <w:szCs w:val="24"/>
        </w:rPr>
      </w:pPr>
    </w:p>
    <w:p w14:paraId="491A0D34" w14:textId="3CA416C1" w:rsidR="00486B21" w:rsidRPr="00647259" w:rsidRDefault="00486B21" w:rsidP="00647259">
      <w:pPr>
        <w:spacing w:after="0" w:line="480" w:lineRule="auto"/>
        <w:ind w:firstLine="720"/>
        <w:rPr>
          <w:rFonts w:ascii="Times New Roman" w:hAnsi="Times New Roman" w:cs="Times New Roman"/>
          <w:sz w:val="24"/>
          <w:szCs w:val="24"/>
        </w:rPr>
      </w:pPr>
    </w:p>
    <w:p w14:paraId="596D5CD0" w14:textId="4965F73C" w:rsidR="006A136A" w:rsidRPr="00647259" w:rsidRDefault="006A136A" w:rsidP="00647259">
      <w:pPr>
        <w:spacing w:after="0" w:line="480" w:lineRule="auto"/>
        <w:ind w:firstLine="720"/>
        <w:rPr>
          <w:rFonts w:ascii="Times New Roman" w:hAnsi="Times New Roman" w:cs="Times New Roman"/>
          <w:sz w:val="24"/>
          <w:szCs w:val="24"/>
        </w:rPr>
      </w:pPr>
    </w:p>
    <w:p w14:paraId="5D8E65FF" w14:textId="6FB23526" w:rsidR="00F53E10" w:rsidRPr="00647259" w:rsidRDefault="00F53E10" w:rsidP="00647259">
      <w:pPr>
        <w:spacing w:after="0" w:line="480" w:lineRule="auto"/>
        <w:ind w:firstLine="720"/>
        <w:rPr>
          <w:rFonts w:ascii="Times New Roman" w:hAnsi="Times New Roman" w:cs="Times New Roman"/>
          <w:sz w:val="24"/>
          <w:szCs w:val="24"/>
        </w:rPr>
      </w:pPr>
    </w:p>
    <w:p w14:paraId="76CAE0EF"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3AEBDD5A" w14:textId="33DB153F" w:rsidR="00F53E10" w:rsidRPr="00647259" w:rsidRDefault="00F53E10" w:rsidP="00647259">
      <w:pPr>
        <w:pStyle w:val="Heading1"/>
        <w:rPr>
          <w:rFonts w:cs="Times New Roman"/>
          <w:szCs w:val="24"/>
        </w:rPr>
      </w:pPr>
      <w:r w:rsidRPr="00647259">
        <w:rPr>
          <w:rFonts w:cs="Times New Roman"/>
          <w:szCs w:val="24"/>
        </w:rPr>
        <w:lastRenderedPageBreak/>
        <w:t>References</w:t>
      </w:r>
    </w:p>
    <w:p w14:paraId="226C7B87" w14:textId="4217738B" w:rsidR="00A3306B" w:rsidRPr="00647259" w:rsidRDefault="00F53E10"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fldChar w:fldCharType="begin"/>
      </w:r>
      <w:r w:rsidR="00486B21" w:rsidRPr="00647259">
        <w:rPr>
          <w:rFonts w:ascii="Times New Roman" w:hAnsi="Times New Roman" w:cs="Times New Roman"/>
          <w:sz w:val="24"/>
          <w:szCs w:val="24"/>
        </w:rPr>
        <w:instrText xml:space="preserve"> ADDIN ZOTERO_BIBL {"uncited":[],"omitted":[],"custom":[]} CSL_BIBLIOGRAPHY </w:instrText>
      </w:r>
      <w:r w:rsidRPr="00647259">
        <w:rPr>
          <w:rFonts w:ascii="Times New Roman" w:hAnsi="Times New Roman" w:cs="Times New Roman"/>
          <w:sz w:val="24"/>
          <w:szCs w:val="24"/>
        </w:rPr>
        <w:fldChar w:fldCharType="separate"/>
      </w:r>
      <w:r w:rsidR="00A3306B" w:rsidRPr="00647259">
        <w:rPr>
          <w:rFonts w:ascii="Times New Roman" w:hAnsi="Times New Roman" w:cs="Times New Roman"/>
          <w:sz w:val="24"/>
          <w:szCs w:val="24"/>
        </w:rPr>
        <w:t xml:space="preserve">Chen, M., Yuan, L., Xie, C.-R., Wang, X.-Y., Feng, S.-J., Xiao, X.-Y., &amp; Zheng, H. (2023). Probiotics for the management of irritable bowel syndrome: A systematic review and three-level meta-analysis. </w:t>
      </w:r>
      <w:r w:rsidR="00A3306B" w:rsidRPr="00647259">
        <w:rPr>
          <w:rFonts w:ascii="Times New Roman" w:hAnsi="Times New Roman" w:cs="Times New Roman"/>
          <w:i/>
          <w:iCs/>
          <w:sz w:val="24"/>
          <w:szCs w:val="24"/>
        </w:rPr>
        <w:t>International Journal of Surgery</w:t>
      </w:r>
      <w:r w:rsidR="00A3306B" w:rsidRPr="00647259">
        <w:rPr>
          <w:rFonts w:ascii="Times New Roman" w:hAnsi="Times New Roman" w:cs="Times New Roman"/>
          <w:sz w:val="24"/>
          <w:szCs w:val="24"/>
        </w:rPr>
        <w:t xml:space="preserve">, </w:t>
      </w:r>
      <w:r w:rsidR="00A3306B" w:rsidRPr="00647259">
        <w:rPr>
          <w:rFonts w:ascii="Times New Roman" w:hAnsi="Times New Roman" w:cs="Times New Roman"/>
          <w:i/>
          <w:iCs/>
          <w:sz w:val="24"/>
          <w:szCs w:val="24"/>
        </w:rPr>
        <w:t>109</w:t>
      </w:r>
      <w:r w:rsidR="00A3306B" w:rsidRPr="00647259">
        <w:rPr>
          <w:rFonts w:ascii="Times New Roman" w:hAnsi="Times New Roman" w:cs="Times New Roman"/>
          <w:sz w:val="24"/>
          <w:szCs w:val="24"/>
        </w:rPr>
        <w:t xml:space="preserve">(11), 3631–3647. </w:t>
      </w:r>
      <w:hyperlink r:id="rId7" w:history="1">
        <w:r w:rsidR="00A3306B" w:rsidRPr="000C1E36">
          <w:rPr>
            <w:rStyle w:val="Hyperlink"/>
            <w:rFonts w:ascii="Times New Roman" w:hAnsi="Times New Roman" w:cs="Times New Roman"/>
            <w:sz w:val="24"/>
            <w:szCs w:val="24"/>
          </w:rPr>
          <w:t>https://doi.org/10.1097/JS9.0000000000000658</w:t>
        </w:r>
      </w:hyperlink>
    </w:p>
    <w:p w14:paraId="36CBB1D3" w14:textId="42CB8693"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Ma, Y., Yang, D., Huang, J., Liu, K., Liu, H., Wu, H., &amp; Bao, C. (2024). Probiotics for inflammatory bowel disease: Is there sufficient evidence? </w:t>
      </w:r>
      <w:r w:rsidRPr="00647259">
        <w:rPr>
          <w:rFonts w:ascii="Times New Roman" w:hAnsi="Times New Roman" w:cs="Times New Roman"/>
          <w:i/>
          <w:iCs/>
          <w:sz w:val="24"/>
          <w:szCs w:val="24"/>
        </w:rPr>
        <w:t>Open Life Sciences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19</w:t>
      </w:r>
      <w:r w:rsidRPr="00647259">
        <w:rPr>
          <w:rFonts w:ascii="Times New Roman" w:hAnsi="Times New Roman" w:cs="Times New Roman"/>
          <w:sz w:val="24"/>
          <w:szCs w:val="24"/>
        </w:rPr>
        <w:t xml:space="preserve">(1), 20220821. </w:t>
      </w:r>
      <w:hyperlink r:id="rId8" w:history="1">
        <w:r w:rsidRPr="000C1E36">
          <w:rPr>
            <w:rStyle w:val="Hyperlink"/>
            <w:rFonts w:ascii="Times New Roman" w:hAnsi="Times New Roman" w:cs="Times New Roman"/>
            <w:sz w:val="24"/>
            <w:szCs w:val="24"/>
          </w:rPr>
          <w:t>https://doi.org/10.1515/biol-2022-0821</w:t>
        </w:r>
      </w:hyperlink>
    </w:p>
    <w:p w14:paraId="3F71C5F1" w14:textId="3FBE8AD0"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Mazziotta, C., Tognon, M., Martini, F., Torreggiani, E., &amp; Rotondo, J. C. (2023). Probiotics Mechanism of Action on Immune Cells and Beneficial Effects on Human Health. </w:t>
      </w:r>
      <w:r w:rsidRPr="00647259">
        <w:rPr>
          <w:rFonts w:ascii="Times New Roman" w:hAnsi="Times New Roman" w:cs="Times New Roman"/>
          <w:i/>
          <w:iCs/>
          <w:sz w:val="24"/>
          <w:szCs w:val="24"/>
        </w:rPr>
        <w:t>Cells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12</w:t>
      </w:r>
      <w:r w:rsidRPr="00647259">
        <w:rPr>
          <w:rFonts w:ascii="Times New Roman" w:hAnsi="Times New Roman" w:cs="Times New Roman"/>
          <w:sz w:val="24"/>
          <w:szCs w:val="24"/>
        </w:rPr>
        <w:t xml:space="preserve">(1), 184. </w:t>
      </w:r>
      <w:hyperlink r:id="rId9" w:history="1">
        <w:r w:rsidRPr="000C1E36">
          <w:rPr>
            <w:rStyle w:val="Hyperlink"/>
            <w:rFonts w:ascii="Times New Roman" w:hAnsi="Times New Roman" w:cs="Times New Roman"/>
            <w:sz w:val="24"/>
            <w:szCs w:val="24"/>
          </w:rPr>
          <w:t>https://doi.org/10.3390/cells12010184</w:t>
        </w:r>
      </w:hyperlink>
    </w:p>
    <w:p w14:paraId="0AC383AC" w14:textId="629DE7B4"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Merenstein, D. J., Tancredi, D. J., Karl, J. P., Krist, A. H., Lenoir-Wijnkoop, I., Reid, G., Roos, S., Szajewska, H., &amp; Sanders, M. E. (2024). Is There Evidence to Support Probiotic Use for Healthy People? </w:t>
      </w:r>
      <w:r w:rsidRPr="00647259">
        <w:rPr>
          <w:rFonts w:ascii="Times New Roman" w:hAnsi="Times New Roman" w:cs="Times New Roman"/>
          <w:i/>
          <w:iCs/>
          <w:sz w:val="24"/>
          <w:szCs w:val="24"/>
        </w:rPr>
        <w:t>Advances in Nutrition</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15</w:t>
      </w:r>
      <w:r w:rsidRPr="00647259">
        <w:rPr>
          <w:rFonts w:ascii="Times New Roman" w:hAnsi="Times New Roman" w:cs="Times New Roman"/>
          <w:sz w:val="24"/>
          <w:szCs w:val="24"/>
        </w:rPr>
        <w:t xml:space="preserve">(8), 100265. </w:t>
      </w:r>
      <w:hyperlink r:id="rId10" w:history="1">
        <w:r w:rsidRPr="000C1E36">
          <w:rPr>
            <w:rStyle w:val="Hyperlink"/>
            <w:rFonts w:ascii="Times New Roman" w:hAnsi="Times New Roman" w:cs="Times New Roman"/>
            <w:sz w:val="24"/>
            <w:szCs w:val="24"/>
          </w:rPr>
          <w:t>https://doi.org/10.1016/j.advnut.2024.100265</w:t>
        </w:r>
      </w:hyperlink>
    </w:p>
    <w:p w14:paraId="099F1E27" w14:textId="1969F65E"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NIH. (2020). </w:t>
      </w:r>
      <w:r w:rsidRPr="00647259">
        <w:rPr>
          <w:rFonts w:ascii="Times New Roman" w:hAnsi="Times New Roman" w:cs="Times New Roman"/>
          <w:i/>
          <w:iCs/>
          <w:sz w:val="24"/>
          <w:szCs w:val="24"/>
        </w:rPr>
        <w:t>Probiotics: Fact sheet for health professionals</w:t>
      </w:r>
      <w:r w:rsidRPr="00647259">
        <w:rPr>
          <w:rFonts w:ascii="Times New Roman" w:hAnsi="Times New Roman" w:cs="Times New Roman"/>
          <w:sz w:val="24"/>
          <w:szCs w:val="24"/>
        </w:rPr>
        <w:t xml:space="preserve">. </w:t>
      </w:r>
      <w:hyperlink r:id="rId11" w:history="1">
        <w:r w:rsidRPr="000C1E36">
          <w:rPr>
            <w:rStyle w:val="Hyperlink"/>
            <w:rFonts w:ascii="Times New Roman" w:hAnsi="Times New Roman" w:cs="Times New Roman"/>
            <w:sz w:val="24"/>
            <w:szCs w:val="24"/>
          </w:rPr>
          <w:t>https://ods.od.nih.gov/factsheets/Probiotics-HealthProfessional/</w:t>
        </w:r>
      </w:hyperlink>
    </w:p>
    <w:p w14:paraId="38546847" w14:textId="584C468A"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Wu, Y., Li, Y., Zheng, Q., &amp; Li, L. (2024). The Efficacy of Probiotics, Prebiotics, Synbiotics, and Fecal Microbiota Transplantation in Irritable Bowel Syndrome: A Systematic Review and Network Meta-Analysis. </w:t>
      </w:r>
      <w:r w:rsidRPr="00647259">
        <w:rPr>
          <w:rFonts w:ascii="Times New Roman" w:hAnsi="Times New Roman" w:cs="Times New Roman"/>
          <w:i/>
          <w:iCs/>
          <w:sz w:val="24"/>
          <w:szCs w:val="24"/>
        </w:rPr>
        <w:t>Nutrients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16</w:t>
      </w:r>
      <w:r w:rsidRPr="00647259">
        <w:rPr>
          <w:rFonts w:ascii="Times New Roman" w:hAnsi="Times New Roman" w:cs="Times New Roman"/>
          <w:sz w:val="24"/>
          <w:szCs w:val="24"/>
        </w:rPr>
        <w:t xml:space="preserve">(13), 2114. </w:t>
      </w:r>
      <w:hyperlink r:id="rId12" w:history="1">
        <w:r w:rsidRPr="000C1E36">
          <w:rPr>
            <w:rStyle w:val="Hyperlink"/>
            <w:rFonts w:ascii="Times New Roman" w:hAnsi="Times New Roman" w:cs="Times New Roman"/>
            <w:sz w:val="24"/>
            <w:szCs w:val="24"/>
          </w:rPr>
          <w:t>https://doi.org/10.3390/nu16132114</w:t>
        </w:r>
      </w:hyperlink>
    </w:p>
    <w:p w14:paraId="193148C8" w14:textId="4900F435"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Xie, P., Luo, M., Deng, X., Fan, J., &amp; Xiong, L. (2023). Outcome-Specific Efficacy of Different Probiotic Strains and Mixtures in Irritable Bowel Syndrome: A Systematic Review and Network Meta-Analysis. </w:t>
      </w:r>
      <w:r w:rsidRPr="00647259">
        <w:rPr>
          <w:rFonts w:ascii="Times New Roman" w:hAnsi="Times New Roman" w:cs="Times New Roman"/>
          <w:i/>
          <w:iCs/>
          <w:sz w:val="24"/>
          <w:szCs w:val="24"/>
        </w:rPr>
        <w:t>Nutrients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15</w:t>
      </w:r>
      <w:r w:rsidRPr="00647259">
        <w:rPr>
          <w:rFonts w:ascii="Times New Roman" w:hAnsi="Times New Roman" w:cs="Times New Roman"/>
          <w:sz w:val="24"/>
          <w:szCs w:val="24"/>
        </w:rPr>
        <w:t xml:space="preserve">(17), 3856. </w:t>
      </w:r>
      <w:hyperlink r:id="rId13" w:history="1">
        <w:r w:rsidRPr="000C1E36">
          <w:rPr>
            <w:rStyle w:val="Hyperlink"/>
            <w:rFonts w:ascii="Times New Roman" w:hAnsi="Times New Roman" w:cs="Times New Roman"/>
            <w:sz w:val="24"/>
            <w:szCs w:val="24"/>
          </w:rPr>
          <w:t>https://doi.org/10.3390/nu15173856</w:t>
        </w:r>
      </w:hyperlink>
    </w:p>
    <w:p w14:paraId="12C1E418" w14:textId="5D405A0D"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lastRenderedPageBreak/>
        <w:t xml:space="preserve">Zhu, J., Sun, Y., Dong, Y., Zhao, Y., Gai, Z., &amp; Fang, S. (2025). Efficacy and Safety of Lactobacillus acidophilus LA85 in Preventing Antibiotic‐Associated Diarrhea: A Randomized, Placebo‐Controlled Study. </w:t>
      </w:r>
      <w:r w:rsidRPr="00647259">
        <w:rPr>
          <w:rFonts w:ascii="Times New Roman" w:hAnsi="Times New Roman" w:cs="Times New Roman"/>
          <w:i/>
          <w:iCs/>
          <w:sz w:val="24"/>
          <w:szCs w:val="24"/>
        </w:rPr>
        <w:t>Food Science &amp; Nutrition</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13</w:t>
      </w:r>
      <w:r w:rsidRPr="00647259">
        <w:rPr>
          <w:rFonts w:ascii="Times New Roman" w:hAnsi="Times New Roman" w:cs="Times New Roman"/>
          <w:sz w:val="24"/>
          <w:szCs w:val="24"/>
        </w:rPr>
        <w:t xml:space="preserve">(6), e70490. </w:t>
      </w:r>
      <w:hyperlink r:id="rId14" w:history="1">
        <w:r w:rsidRPr="000C1E36">
          <w:rPr>
            <w:rStyle w:val="Hyperlink"/>
            <w:rFonts w:ascii="Times New Roman" w:hAnsi="Times New Roman" w:cs="Times New Roman"/>
            <w:sz w:val="24"/>
            <w:szCs w:val="24"/>
          </w:rPr>
          <w:t>https://doi.org/10.1002/fsn3.70490</w:t>
        </w:r>
      </w:hyperlink>
    </w:p>
    <w:p w14:paraId="5D162BC8" w14:textId="5035AB74" w:rsidR="00F53E10" w:rsidRPr="00647259" w:rsidRDefault="00F53E10" w:rsidP="00647259">
      <w:pPr>
        <w:spacing w:after="0" w:line="480" w:lineRule="auto"/>
        <w:rPr>
          <w:rFonts w:ascii="Times New Roman" w:hAnsi="Times New Roman" w:cs="Times New Roman"/>
          <w:sz w:val="24"/>
          <w:szCs w:val="24"/>
        </w:rPr>
      </w:pPr>
      <w:r w:rsidRPr="00647259">
        <w:rPr>
          <w:rFonts w:ascii="Times New Roman" w:hAnsi="Times New Roman" w:cs="Times New Roman"/>
          <w:sz w:val="24"/>
          <w:szCs w:val="24"/>
        </w:rPr>
        <w:fldChar w:fldCharType="end"/>
      </w:r>
    </w:p>
    <w:p w14:paraId="3156476B" w14:textId="77777777" w:rsidR="00646202" w:rsidRPr="00647259" w:rsidRDefault="00646202" w:rsidP="00647259">
      <w:pPr>
        <w:spacing w:after="0" w:line="480" w:lineRule="auto"/>
        <w:rPr>
          <w:rFonts w:ascii="Times New Roman" w:hAnsi="Times New Roman" w:cs="Times New Roman"/>
          <w:sz w:val="24"/>
          <w:szCs w:val="24"/>
        </w:rPr>
      </w:pPr>
    </w:p>
    <w:sectPr w:rsidR="00646202" w:rsidRPr="0064725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509B3" w14:textId="77777777" w:rsidR="003F608B" w:rsidRDefault="003F608B" w:rsidP="00981176">
      <w:pPr>
        <w:spacing w:after="0" w:line="240" w:lineRule="auto"/>
      </w:pPr>
      <w:r>
        <w:separator/>
      </w:r>
    </w:p>
  </w:endnote>
  <w:endnote w:type="continuationSeparator" w:id="0">
    <w:p w14:paraId="5B18CA94" w14:textId="77777777" w:rsidR="003F608B" w:rsidRDefault="003F608B"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56BF7" w14:textId="77777777" w:rsidR="003F608B" w:rsidRDefault="003F608B" w:rsidP="00981176">
      <w:pPr>
        <w:spacing w:after="0" w:line="240" w:lineRule="auto"/>
      </w:pPr>
      <w:r>
        <w:separator/>
      </w:r>
    </w:p>
  </w:footnote>
  <w:footnote w:type="continuationSeparator" w:id="0">
    <w:p w14:paraId="39FCB0D5" w14:textId="77777777" w:rsidR="003F608B" w:rsidRDefault="003F608B"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w1oAxywzeCwAAAA="/>
  </w:docVars>
  <w:rsids>
    <w:rsidRoot w:val="00F53E10"/>
    <w:rsid w:val="000A2082"/>
    <w:rsid w:val="000C1E36"/>
    <w:rsid w:val="001D3267"/>
    <w:rsid w:val="00245F1F"/>
    <w:rsid w:val="00264CF0"/>
    <w:rsid w:val="00291820"/>
    <w:rsid w:val="003745D9"/>
    <w:rsid w:val="003E7706"/>
    <w:rsid w:val="003F33D8"/>
    <w:rsid w:val="003F608B"/>
    <w:rsid w:val="00431BE3"/>
    <w:rsid w:val="00486B21"/>
    <w:rsid w:val="00553834"/>
    <w:rsid w:val="005A4AEB"/>
    <w:rsid w:val="006009DF"/>
    <w:rsid w:val="00622BF1"/>
    <w:rsid w:val="00623359"/>
    <w:rsid w:val="00646202"/>
    <w:rsid w:val="00647259"/>
    <w:rsid w:val="0067539B"/>
    <w:rsid w:val="00680E5B"/>
    <w:rsid w:val="006A136A"/>
    <w:rsid w:val="006A6338"/>
    <w:rsid w:val="00702E87"/>
    <w:rsid w:val="0079762B"/>
    <w:rsid w:val="007F421C"/>
    <w:rsid w:val="00822DF6"/>
    <w:rsid w:val="00856FA9"/>
    <w:rsid w:val="00901361"/>
    <w:rsid w:val="00930992"/>
    <w:rsid w:val="00942476"/>
    <w:rsid w:val="00981176"/>
    <w:rsid w:val="00A17C00"/>
    <w:rsid w:val="00A3306B"/>
    <w:rsid w:val="00A37ECE"/>
    <w:rsid w:val="00A4695A"/>
    <w:rsid w:val="00AD746E"/>
    <w:rsid w:val="00B45F07"/>
    <w:rsid w:val="00B86D76"/>
    <w:rsid w:val="00BC5E44"/>
    <w:rsid w:val="00CA265F"/>
    <w:rsid w:val="00D3727C"/>
    <w:rsid w:val="00D4613D"/>
    <w:rsid w:val="00E13395"/>
    <w:rsid w:val="00E72EBA"/>
    <w:rsid w:val="00F53E10"/>
    <w:rsid w:val="00FB44D2"/>
    <w:rsid w:val="00FE0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FE0C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 w:type="character" w:styleId="FollowedHyperlink">
    <w:name w:val="FollowedHyperlink"/>
    <w:basedOn w:val="DefaultParagraphFont"/>
    <w:uiPriority w:val="99"/>
    <w:semiHidden/>
    <w:unhideWhenUsed/>
    <w:rsid w:val="001D3267"/>
    <w:rPr>
      <w:color w:val="954F72" w:themeColor="followedHyperlink"/>
      <w:u w:val="single"/>
    </w:rPr>
  </w:style>
  <w:style w:type="character" w:customStyle="1" w:styleId="Heading3Char">
    <w:name w:val="Heading 3 Char"/>
    <w:basedOn w:val="DefaultParagraphFont"/>
    <w:link w:val="Heading3"/>
    <w:uiPriority w:val="9"/>
    <w:semiHidden/>
    <w:rsid w:val="00FE0C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229195074">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554245945">
      <w:bodyDiv w:val="1"/>
      <w:marLeft w:val="0"/>
      <w:marRight w:val="0"/>
      <w:marTop w:val="0"/>
      <w:marBottom w:val="0"/>
      <w:divBdr>
        <w:top w:val="none" w:sz="0" w:space="0" w:color="auto"/>
        <w:left w:val="none" w:sz="0" w:space="0" w:color="auto"/>
        <w:bottom w:val="none" w:sz="0" w:space="0" w:color="auto"/>
        <w:right w:val="none" w:sz="0" w:space="0" w:color="auto"/>
      </w:divBdr>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37721937">
      <w:bodyDiv w:val="1"/>
      <w:marLeft w:val="0"/>
      <w:marRight w:val="0"/>
      <w:marTop w:val="0"/>
      <w:marBottom w:val="0"/>
      <w:divBdr>
        <w:top w:val="none" w:sz="0" w:space="0" w:color="auto"/>
        <w:left w:val="none" w:sz="0" w:space="0" w:color="auto"/>
        <w:bottom w:val="none" w:sz="0" w:space="0" w:color="auto"/>
        <w:right w:val="none" w:sz="0" w:space="0" w:color="auto"/>
      </w:divBdr>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584802198">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biol-2022-0821" TargetMode="External"/><Relationship Id="rId13" Type="http://schemas.openxmlformats.org/officeDocument/2006/relationships/hyperlink" Target="https://doi.org/10.3390/nu15173856" TargetMode="External"/><Relationship Id="rId3" Type="http://schemas.openxmlformats.org/officeDocument/2006/relationships/settings" Target="settings.xml"/><Relationship Id="rId7" Type="http://schemas.openxmlformats.org/officeDocument/2006/relationships/hyperlink" Target="https://doi.org/10.1097/JS9.0000000000000658" TargetMode="External"/><Relationship Id="rId12" Type="http://schemas.openxmlformats.org/officeDocument/2006/relationships/hyperlink" Target="https://doi.org/10.3390/nu161321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s.od.nih.gov/factsheets/Probiotics-HealthProfession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advnut.2024.100265" TargetMode="External"/><Relationship Id="rId4" Type="http://schemas.openxmlformats.org/officeDocument/2006/relationships/webSettings" Target="webSettings.xml"/><Relationship Id="rId9" Type="http://schemas.openxmlformats.org/officeDocument/2006/relationships/hyperlink" Target="https://doi.org/10.3390/cells12010184" TargetMode="External"/><Relationship Id="rId14" Type="http://schemas.openxmlformats.org/officeDocument/2006/relationships/hyperlink" Target="https://doi.org/10.1002/fsn3.70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2026-05-05T02:31:00Z</dcterms:created>
  <dcterms:modified xsi:type="dcterms:W3CDTF">2026-05-05T02:31:00Z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id="bmC6bJ56"/&gt;&lt;style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GrammarlyDocumentId">
    <vt:lpwstr>24a032a4-9633-4f0b-bbaf-b62d172755c7</vt:lpwstr>
  </property>
</Properties>
</file>