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DBE86" w14:textId="77777777" w:rsidR="007D4598" w:rsidRPr="000A57FE" w:rsidRDefault="007D4598" w:rsidP="000A57FE">
      <w:pPr>
        <w:spacing w:after="0" w:line="480" w:lineRule="auto"/>
        <w:rPr>
          <w:rFonts w:ascii="Times New Roman" w:hAnsi="Times New Roman" w:cs="Times New Roman"/>
          <w:sz w:val="24"/>
          <w:szCs w:val="24"/>
        </w:rPr>
      </w:pPr>
    </w:p>
    <w:p w14:paraId="1BB30F32" w14:textId="77777777" w:rsidR="007D4598" w:rsidRPr="000A57FE" w:rsidRDefault="007D4598" w:rsidP="000A57FE">
      <w:pPr>
        <w:spacing w:after="0" w:line="480" w:lineRule="auto"/>
        <w:rPr>
          <w:rFonts w:ascii="Times New Roman" w:hAnsi="Times New Roman" w:cs="Times New Roman"/>
          <w:sz w:val="24"/>
          <w:szCs w:val="24"/>
        </w:rPr>
      </w:pPr>
    </w:p>
    <w:p w14:paraId="3F5AB5F3" w14:textId="77777777" w:rsidR="007D4598" w:rsidRPr="000A57FE" w:rsidRDefault="007D4598" w:rsidP="000A57FE">
      <w:pPr>
        <w:spacing w:after="0" w:line="480" w:lineRule="auto"/>
        <w:rPr>
          <w:rFonts w:ascii="Times New Roman" w:hAnsi="Times New Roman" w:cs="Times New Roman"/>
          <w:sz w:val="24"/>
          <w:szCs w:val="24"/>
        </w:rPr>
      </w:pPr>
    </w:p>
    <w:p w14:paraId="1602FB61" w14:textId="77777777" w:rsidR="007D4598" w:rsidRPr="000A57FE" w:rsidRDefault="007D4598" w:rsidP="000A57FE">
      <w:pPr>
        <w:spacing w:after="0" w:line="480" w:lineRule="auto"/>
        <w:jc w:val="center"/>
        <w:rPr>
          <w:rFonts w:ascii="Times New Roman" w:hAnsi="Times New Roman" w:cs="Times New Roman"/>
          <w:sz w:val="24"/>
          <w:szCs w:val="24"/>
        </w:rPr>
      </w:pPr>
    </w:p>
    <w:p w14:paraId="0B727263" w14:textId="77777777" w:rsidR="007D4598" w:rsidRPr="000A57FE" w:rsidRDefault="007D4598" w:rsidP="000A57FE">
      <w:pPr>
        <w:spacing w:after="0" w:line="480" w:lineRule="auto"/>
        <w:jc w:val="center"/>
        <w:rPr>
          <w:rFonts w:ascii="Times New Roman" w:hAnsi="Times New Roman" w:cs="Times New Roman"/>
          <w:sz w:val="24"/>
          <w:szCs w:val="24"/>
        </w:rPr>
      </w:pPr>
    </w:p>
    <w:p w14:paraId="409AF1A5" w14:textId="77777777" w:rsidR="007D4598" w:rsidRPr="000A57FE" w:rsidRDefault="007D4598" w:rsidP="000A57FE">
      <w:pPr>
        <w:spacing w:after="0" w:line="480" w:lineRule="auto"/>
        <w:jc w:val="center"/>
        <w:rPr>
          <w:rFonts w:ascii="Times New Roman" w:hAnsi="Times New Roman" w:cs="Times New Roman"/>
          <w:sz w:val="24"/>
          <w:szCs w:val="24"/>
        </w:rPr>
      </w:pPr>
    </w:p>
    <w:p w14:paraId="13350AD4" w14:textId="77777777" w:rsidR="007D4598" w:rsidRPr="000A57FE" w:rsidRDefault="007D4598" w:rsidP="000A57FE">
      <w:pPr>
        <w:spacing w:after="0" w:line="480" w:lineRule="auto"/>
        <w:jc w:val="center"/>
        <w:rPr>
          <w:rFonts w:ascii="Times New Roman" w:hAnsi="Times New Roman" w:cs="Times New Roman"/>
          <w:sz w:val="24"/>
          <w:szCs w:val="24"/>
        </w:rPr>
      </w:pPr>
    </w:p>
    <w:p w14:paraId="74ED3038" w14:textId="77777777" w:rsidR="007D4598" w:rsidRPr="000A57FE" w:rsidRDefault="007D4598" w:rsidP="000A57FE">
      <w:pPr>
        <w:spacing w:after="0" w:line="480" w:lineRule="auto"/>
        <w:jc w:val="center"/>
        <w:rPr>
          <w:rFonts w:ascii="Times New Roman" w:hAnsi="Times New Roman" w:cs="Times New Roman"/>
          <w:sz w:val="24"/>
          <w:szCs w:val="24"/>
        </w:rPr>
      </w:pPr>
    </w:p>
    <w:p w14:paraId="4A5FBFF1" w14:textId="620300A6" w:rsidR="007D4598" w:rsidRPr="000A57FE" w:rsidRDefault="004F576E" w:rsidP="000A57FE">
      <w:pPr>
        <w:spacing w:after="0" w:line="480" w:lineRule="auto"/>
        <w:jc w:val="center"/>
        <w:rPr>
          <w:rFonts w:ascii="Times New Roman" w:hAnsi="Times New Roman" w:cs="Times New Roman"/>
          <w:sz w:val="24"/>
          <w:szCs w:val="24"/>
        </w:rPr>
      </w:pPr>
      <w:r w:rsidRPr="000A57FE">
        <w:rPr>
          <w:rFonts w:ascii="Times New Roman" w:hAnsi="Times New Roman" w:cs="Times New Roman"/>
          <w:b/>
          <w:sz w:val="24"/>
          <w:szCs w:val="24"/>
          <w:shd w:val="clear" w:color="auto" w:fill="FFFFFF"/>
        </w:rPr>
        <w:t>The New Cold War At Sea After WWII</w:t>
      </w:r>
    </w:p>
    <w:p w14:paraId="56535418" w14:textId="77777777" w:rsidR="007D4598" w:rsidRPr="000A57FE" w:rsidRDefault="007D4598" w:rsidP="000A57FE">
      <w:pPr>
        <w:spacing w:after="0" w:line="480" w:lineRule="auto"/>
        <w:jc w:val="center"/>
        <w:rPr>
          <w:rFonts w:ascii="Times New Roman" w:hAnsi="Times New Roman" w:cs="Times New Roman"/>
          <w:b/>
          <w:bCs/>
          <w:sz w:val="24"/>
          <w:szCs w:val="24"/>
        </w:rPr>
      </w:pPr>
    </w:p>
    <w:p w14:paraId="55CE0ADD" w14:textId="77777777" w:rsidR="007D4598" w:rsidRPr="000A57FE" w:rsidRDefault="007D4598" w:rsidP="000A57FE">
      <w:pPr>
        <w:spacing w:after="0" w:line="480" w:lineRule="auto"/>
        <w:jc w:val="center"/>
        <w:rPr>
          <w:rFonts w:ascii="Times New Roman" w:hAnsi="Times New Roman" w:cs="Times New Roman"/>
          <w:sz w:val="24"/>
          <w:szCs w:val="24"/>
        </w:rPr>
      </w:pPr>
      <w:r w:rsidRPr="000A57FE">
        <w:rPr>
          <w:rFonts w:ascii="Times New Roman" w:hAnsi="Times New Roman" w:cs="Times New Roman"/>
          <w:sz w:val="24"/>
          <w:szCs w:val="24"/>
        </w:rPr>
        <w:t>Student Name</w:t>
      </w:r>
    </w:p>
    <w:p w14:paraId="5C839A93" w14:textId="77777777" w:rsidR="007D4598" w:rsidRPr="000A57FE" w:rsidRDefault="007D4598" w:rsidP="000A57FE">
      <w:pPr>
        <w:spacing w:after="0" w:line="480" w:lineRule="auto"/>
        <w:jc w:val="center"/>
        <w:rPr>
          <w:rFonts w:ascii="Times New Roman" w:hAnsi="Times New Roman" w:cs="Times New Roman"/>
          <w:sz w:val="24"/>
          <w:szCs w:val="24"/>
        </w:rPr>
      </w:pPr>
      <w:r w:rsidRPr="000A57FE">
        <w:rPr>
          <w:rFonts w:ascii="Times New Roman" w:hAnsi="Times New Roman" w:cs="Times New Roman"/>
          <w:sz w:val="24"/>
          <w:szCs w:val="24"/>
        </w:rPr>
        <w:t>Institute Name</w:t>
      </w:r>
    </w:p>
    <w:p w14:paraId="3FCDCE85" w14:textId="77777777" w:rsidR="007D4598" w:rsidRPr="000A57FE" w:rsidRDefault="007D4598" w:rsidP="000A57FE">
      <w:pPr>
        <w:spacing w:after="0" w:line="480" w:lineRule="auto"/>
        <w:jc w:val="center"/>
        <w:rPr>
          <w:rFonts w:ascii="Times New Roman" w:hAnsi="Times New Roman" w:cs="Times New Roman"/>
          <w:sz w:val="24"/>
          <w:szCs w:val="24"/>
        </w:rPr>
      </w:pPr>
      <w:r w:rsidRPr="000A57FE">
        <w:rPr>
          <w:rFonts w:ascii="Times New Roman" w:hAnsi="Times New Roman" w:cs="Times New Roman"/>
          <w:sz w:val="24"/>
          <w:szCs w:val="24"/>
        </w:rPr>
        <w:t>Course Name</w:t>
      </w:r>
    </w:p>
    <w:p w14:paraId="5578AB58" w14:textId="77777777" w:rsidR="007D4598" w:rsidRPr="000A57FE" w:rsidRDefault="007D4598" w:rsidP="000A57FE">
      <w:pPr>
        <w:spacing w:after="0" w:line="480" w:lineRule="auto"/>
        <w:jc w:val="center"/>
        <w:rPr>
          <w:rFonts w:ascii="Times New Roman" w:hAnsi="Times New Roman" w:cs="Times New Roman"/>
          <w:sz w:val="24"/>
          <w:szCs w:val="24"/>
        </w:rPr>
      </w:pPr>
      <w:r w:rsidRPr="000A57FE">
        <w:rPr>
          <w:rFonts w:ascii="Times New Roman" w:hAnsi="Times New Roman" w:cs="Times New Roman"/>
          <w:sz w:val="24"/>
          <w:szCs w:val="24"/>
        </w:rPr>
        <w:t>Instructor Name</w:t>
      </w:r>
    </w:p>
    <w:p w14:paraId="11521F72" w14:textId="77777777" w:rsidR="007D4598" w:rsidRPr="000A57FE" w:rsidRDefault="007D4598" w:rsidP="000A57FE">
      <w:pPr>
        <w:spacing w:after="0" w:line="480" w:lineRule="auto"/>
        <w:jc w:val="center"/>
        <w:rPr>
          <w:rFonts w:ascii="Times New Roman" w:hAnsi="Times New Roman" w:cs="Times New Roman"/>
          <w:sz w:val="24"/>
          <w:szCs w:val="24"/>
        </w:rPr>
      </w:pPr>
      <w:r w:rsidRPr="000A57FE">
        <w:rPr>
          <w:rFonts w:ascii="Times New Roman" w:hAnsi="Times New Roman" w:cs="Times New Roman"/>
          <w:sz w:val="24"/>
          <w:szCs w:val="24"/>
        </w:rPr>
        <w:t>Date</w:t>
      </w:r>
    </w:p>
    <w:p w14:paraId="2C2F47E5" w14:textId="77777777" w:rsidR="007D4598" w:rsidRPr="000A57FE" w:rsidRDefault="007D4598" w:rsidP="000A57FE">
      <w:pPr>
        <w:spacing w:after="0" w:line="480" w:lineRule="auto"/>
        <w:rPr>
          <w:rFonts w:ascii="Times New Roman" w:hAnsi="Times New Roman" w:cs="Times New Roman"/>
          <w:b/>
          <w:sz w:val="24"/>
          <w:szCs w:val="24"/>
          <w:shd w:val="clear" w:color="auto" w:fill="FFFFFF"/>
        </w:rPr>
      </w:pPr>
      <w:r w:rsidRPr="000A57FE">
        <w:rPr>
          <w:rFonts w:ascii="Times New Roman" w:hAnsi="Times New Roman" w:cs="Times New Roman"/>
          <w:b/>
          <w:sz w:val="24"/>
          <w:szCs w:val="24"/>
          <w:shd w:val="clear" w:color="auto" w:fill="FFFFFF"/>
        </w:rPr>
        <w:br w:type="page"/>
      </w:r>
    </w:p>
    <w:p w14:paraId="20900F57" w14:textId="330745FC" w:rsidR="007D4598" w:rsidRPr="000A57FE" w:rsidRDefault="004F576E" w:rsidP="000A57FE">
      <w:pPr>
        <w:spacing w:after="0" w:line="480" w:lineRule="auto"/>
        <w:jc w:val="center"/>
        <w:rPr>
          <w:rFonts w:ascii="Times New Roman" w:hAnsi="Times New Roman" w:cs="Times New Roman"/>
          <w:sz w:val="24"/>
          <w:szCs w:val="24"/>
        </w:rPr>
      </w:pPr>
      <w:r w:rsidRPr="000A57FE">
        <w:rPr>
          <w:rFonts w:ascii="Times New Roman" w:hAnsi="Times New Roman" w:cs="Times New Roman"/>
          <w:b/>
          <w:sz w:val="24"/>
          <w:szCs w:val="24"/>
          <w:shd w:val="clear" w:color="auto" w:fill="FFFFFF"/>
        </w:rPr>
        <w:lastRenderedPageBreak/>
        <w:t>The New Cold War At Sea After WWII</w:t>
      </w:r>
    </w:p>
    <w:p w14:paraId="740D9401" w14:textId="77777777" w:rsidR="004F576E" w:rsidRPr="000A57FE" w:rsidRDefault="004F576E" w:rsidP="000A57FE">
      <w:pPr>
        <w:spacing w:after="0" w:line="480" w:lineRule="auto"/>
        <w:rPr>
          <w:rFonts w:ascii="Times New Roman" w:hAnsi="Times New Roman" w:cs="Times New Roman"/>
          <w:b/>
          <w:bCs/>
          <w:sz w:val="24"/>
          <w:szCs w:val="24"/>
        </w:rPr>
      </w:pPr>
      <w:r w:rsidRPr="000A57FE">
        <w:rPr>
          <w:rFonts w:ascii="Times New Roman" w:hAnsi="Times New Roman" w:cs="Times New Roman"/>
          <w:b/>
          <w:bCs/>
          <w:sz w:val="24"/>
          <w:szCs w:val="24"/>
        </w:rPr>
        <w:t>Assignment 1</w:t>
      </w:r>
    </w:p>
    <w:p w14:paraId="358A06C6" w14:textId="3C2D098A" w:rsidR="009401B1" w:rsidRPr="009401B1" w:rsidRDefault="00B622B8" w:rsidP="009401B1">
      <w:pPr>
        <w:spacing w:after="0" w:line="480" w:lineRule="auto"/>
        <w:ind w:firstLine="720"/>
        <w:rPr>
          <w:rFonts w:ascii="Times New Roman" w:hAnsi="Times New Roman" w:cs="Times New Roman"/>
          <w:sz w:val="24"/>
          <w:szCs w:val="24"/>
        </w:rPr>
      </w:pPr>
      <w:r w:rsidRPr="00B622B8">
        <w:rPr>
          <w:rFonts w:ascii="Times New Roman" w:hAnsi="Times New Roman" w:cs="Times New Roman"/>
          <w:sz w:val="24"/>
          <w:szCs w:val="24"/>
        </w:rPr>
        <w:t xml:space="preserve">Project </w:t>
      </w:r>
      <w:proofErr w:type="spellStart"/>
      <w:r w:rsidRPr="00B622B8">
        <w:rPr>
          <w:rFonts w:ascii="Times New Roman" w:hAnsi="Times New Roman" w:cs="Times New Roman"/>
          <w:sz w:val="24"/>
          <w:szCs w:val="24"/>
        </w:rPr>
        <w:t>Azorian</w:t>
      </w:r>
      <w:proofErr w:type="spellEnd"/>
      <w:r w:rsidRPr="00B622B8">
        <w:rPr>
          <w:rFonts w:ascii="Times New Roman" w:hAnsi="Times New Roman" w:cs="Times New Roman"/>
          <w:sz w:val="24"/>
          <w:szCs w:val="24"/>
        </w:rPr>
        <w:t>, the Cold War intelligence operation, is among the most complex and cloaked of covert US intelligence operations. Official documents and other accounts suggest a concerted institutional effort to lying about the circumstances surrounding the loss of the Soviet submarine K-129 in the Pacific Ocean in March 1968. As Aid</w:t>
      </w:r>
      <w:r>
        <w:rPr>
          <w:rFonts w:ascii="Times New Roman" w:hAnsi="Times New Roman" w:cs="Times New Roman"/>
          <w:sz w:val="24"/>
          <w:szCs w:val="24"/>
        </w:rPr>
        <w:t xml:space="preserve"> et al.</w:t>
      </w:r>
      <w:r w:rsidRPr="00B622B8">
        <w:rPr>
          <w:rFonts w:ascii="Times New Roman" w:hAnsi="Times New Roman" w:cs="Times New Roman"/>
          <w:sz w:val="24"/>
          <w:szCs w:val="24"/>
        </w:rPr>
        <w:t xml:space="preserve"> (2010) recount in the CIA's official declassified history of the Glomar Explorer, the cover story that has been publicly maintained for the past five decades is patently inadequate: this is an effort by US intelligence leadership to control the image and meaning of the operation. The fact that the CIA's declassified history is completely silent as to the actual cause of K-129's demise is itself indicative, particularly considering the otherwise meticulous chronology of the retrieval mission, and suggests that the most important facts are being carefully obscured.</w:t>
      </w:r>
    </w:p>
    <w:p w14:paraId="0B329AAC" w14:textId="43A6E38D" w:rsidR="009401B1" w:rsidRPr="009401B1" w:rsidRDefault="009401B1" w:rsidP="009401B1">
      <w:pPr>
        <w:spacing w:after="0" w:line="480" w:lineRule="auto"/>
        <w:ind w:firstLine="720"/>
        <w:rPr>
          <w:rFonts w:ascii="Times New Roman" w:hAnsi="Times New Roman" w:cs="Times New Roman"/>
          <w:sz w:val="24"/>
          <w:szCs w:val="24"/>
        </w:rPr>
      </w:pPr>
      <w:r w:rsidRPr="009401B1">
        <w:rPr>
          <w:rFonts w:ascii="Times New Roman" w:hAnsi="Times New Roman" w:cs="Times New Roman"/>
          <w:sz w:val="24"/>
          <w:szCs w:val="24"/>
        </w:rPr>
        <w:t xml:space="preserve">A historically and strategically plausible motivation for K-129's final assignment is that a rogue Soviet officer was acting out a plan to trigger a US nuclear attack on China. In March 1968, Sino-Soviet relations were at their nadir, and some Soviet military officers might have come to believe that a US-China nuclear war would be strategically beneficial for the Soviet Union (Aid et al., 2010). An individual officer, acting independently of Moscow's directives, may have thought that sailing K-129 to Pearl Harbor would cause just such an escalation, leaving the Soviet Union as the sole remaining superpower, ruling over a geopolitically devastated planet. This is entirely congruent with the ideological divides and military apprehensions that </w:t>
      </w:r>
      <w:r w:rsidR="00B622B8" w:rsidRPr="009401B1">
        <w:rPr>
          <w:rFonts w:ascii="Times New Roman" w:hAnsi="Times New Roman" w:cs="Times New Roman"/>
          <w:sz w:val="24"/>
          <w:szCs w:val="24"/>
        </w:rPr>
        <w:t>characterized</w:t>
      </w:r>
      <w:r w:rsidRPr="009401B1">
        <w:rPr>
          <w:rFonts w:ascii="Times New Roman" w:hAnsi="Times New Roman" w:cs="Times New Roman"/>
          <w:sz w:val="24"/>
          <w:szCs w:val="24"/>
        </w:rPr>
        <w:t xml:space="preserve"> Soviet thinking at the peak of Cold War tensions, and it may explain why the reasons behind the sinking have never been officially publicly disclosed by American intelligence organs.</w:t>
      </w:r>
    </w:p>
    <w:p w14:paraId="13213C40" w14:textId="2F85814D" w:rsidR="004F576E" w:rsidRPr="000A57FE" w:rsidRDefault="009401B1" w:rsidP="009401B1">
      <w:pPr>
        <w:spacing w:after="0" w:line="480" w:lineRule="auto"/>
        <w:ind w:firstLine="720"/>
        <w:rPr>
          <w:rFonts w:ascii="Times New Roman" w:hAnsi="Times New Roman" w:cs="Times New Roman"/>
          <w:sz w:val="24"/>
          <w:szCs w:val="24"/>
        </w:rPr>
      </w:pPr>
      <w:r w:rsidRPr="009401B1">
        <w:rPr>
          <w:rFonts w:ascii="Times New Roman" w:hAnsi="Times New Roman" w:cs="Times New Roman"/>
          <w:sz w:val="24"/>
          <w:szCs w:val="24"/>
        </w:rPr>
        <w:lastRenderedPageBreak/>
        <w:t>The CIA covertly recovered the submarine under the guise of Howard Hughes business interests to show the lengths to which American intelligence resources would go to hide their capabilities and discoveries. Official US reports of the mission presented it as a failure, with recovery of just the 38-foot front section. Yet this claim is directly contradicted by Thulin (2019), who suggests the CIA successfully fooled the public into believing in a failed mission, while having discovered much more impressive material under the radar. The continued "neither confirm nor deny" stance pursued by the agency over a 50-year period spikes the suspicion that the official version of events is a carefully curated official narrative, rather than a frank historical re-creation.</w:t>
      </w:r>
    </w:p>
    <w:p w14:paraId="7D1110BA" w14:textId="08F4E0C9" w:rsidR="004F576E" w:rsidRPr="008C68CC" w:rsidRDefault="008C68CC" w:rsidP="008C68CC">
      <w:pPr>
        <w:spacing w:after="0" w:line="480" w:lineRule="auto"/>
        <w:jc w:val="center"/>
        <w:rPr>
          <w:rFonts w:ascii="Times New Roman" w:hAnsi="Times New Roman" w:cs="Times New Roman"/>
          <w:b/>
          <w:bCs/>
          <w:sz w:val="24"/>
          <w:szCs w:val="24"/>
        </w:rPr>
      </w:pPr>
      <w:r w:rsidRPr="008C68CC">
        <w:rPr>
          <w:rFonts w:ascii="Times New Roman" w:hAnsi="Times New Roman" w:cs="Times New Roman"/>
          <w:b/>
          <w:bCs/>
          <w:sz w:val="24"/>
          <w:szCs w:val="24"/>
        </w:rPr>
        <w:t>Assignment 2</w:t>
      </w:r>
    </w:p>
    <w:p w14:paraId="1E1B22BE" w14:textId="2E612AC9" w:rsidR="00B622B8" w:rsidRPr="00B622B8" w:rsidRDefault="00B622B8" w:rsidP="00B622B8">
      <w:pPr>
        <w:spacing w:after="0" w:line="480" w:lineRule="auto"/>
        <w:ind w:firstLine="720"/>
        <w:rPr>
          <w:rFonts w:ascii="Times New Roman" w:hAnsi="Times New Roman" w:cs="Times New Roman"/>
          <w:sz w:val="24"/>
          <w:szCs w:val="24"/>
        </w:rPr>
      </w:pPr>
      <w:r w:rsidRPr="00B622B8">
        <w:rPr>
          <w:rFonts w:ascii="Times New Roman" w:hAnsi="Times New Roman" w:cs="Times New Roman"/>
          <w:sz w:val="24"/>
          <w:szCs w:val="24"/>
        </w:rPr>
        <w:t>The Hunt for Red October (1990) is a highly accurate fictional representation of the documented realities of Cold War submarine espionage undertaken by the US Central Intelligence Agency (CIA), and it is likely that the filmmakers had access to examples of intelligence operations in developing its narrative plot. McTiernan (1990) stages a Soviet submarine commander's defection to the US by piloting an ultra-quiet submarine through successive American and Soviet spying networks. Given the specificity and replicability in the text, this coincidence is unlikely and suggests instead that the film's production was rooted in historical realities.</w:t>
      </w:r>
    </w:p>
    <w:p w14:paraId="12108980" w14:textId="77777777" w:rsidR="00B622B8" w:rsidRPr="00B622B8" w:rsidRDefault="00B622B8" w:rsidP="00B622B8">
      <w:pPr>
        <w:spacing w:after="0" w:line="480" w:lineRule="auto"/>
        <w:ind w:firstLine="720"/>
        <w:rPr>
          <w:rFonts w:ascii="Times New Roman" w:hAnsi="Times New Roman" w:cs="Times New Roman"/>
          <w:sz w:val="24"/>
          <w:szCs w:val="24"/>
        </w:rPr>
      </w:pPr>
      <w:r w:rsidRPr="00B622B8">
        <w:rPr>
          <w:rFonts w:ascii="Times New Roman" w:hAnsi="Times New Roman" w:cs="Times New Roman"/>
          <w:sz w:val="24"/>
          <w:szCs w:val="24"/>
        </w:rPr>
        <w:t xml:space="preserve">By far the closest correspondence between the film and the known historical record is in the role of extensive institutional deception to mask intelligence operations to both foreign adversaries and the public at home. American intelligence agencies create and maintain a net of deceit to fool the Soviets, while also manipulating public opinion in their home country (McTiernan, 1990). This is exactly how the CIA managed the secrecy of Project </w:t>
      </w:r>
      <w:proofErr w:type="spellStart"/>
      <w:r w:rsidRPr="00B622B8">
        <w:rPr>
          <w:rFonts w:ascii="Times New Roman" w:hAnsi="Times New Roman" w:cs="Times New Roman"/>
          <w:sz w:val="24"/>
          <w:szCs w:val="24"/>
        </w:rPr>
        <w:t>Azorian</w:t>
      </w:r>
      <w:proofErr w:type="spellEnd"/>
      <w:r w:rsidRPr="00B622B8">
        <w:rPr>
          <w:rFonts w:ascii="Times New Roman" w:hAnsi="Times New Roman" w:cs="Times New Roman"/>
          <w:sz w:val="24"/>
          <w:szCs w:val="24"/>
        </w:rPr>
        <w:t xml:space="preserve">, </w:t>
      </w:r>
      <w:r w:rsidRPr="00B622B8">
        <w:rPr>
          <w:rFonts w:ascii="Times New Roman" w:hAnsi="Times New Roman" w:cs="Times New Roman"/>
          <w:sz w:val="24"/>
          <w:szCs w:val="24"/>
        </w:rPr>
        <w:lastRenderedPageBreak/>
        <w:t>whereby the "persona" of Howard Hughes was fabricated and sustained for years in order to mask the real reason for the Glomar Explorer's voyage into the Pacific (Aid et al., 2010). Both examples demonstrate a unique aspect of Cold War secrecy intelligence operations: that success was achieved not simply through secret actions, but the active creation of plausible alternative realities spanning years of public audiences.</w:t>
      </w:r>
    </w:p>
    <w:p w14:paraId="0CBEACC2" w14:textId="75147F36" w:rsidR="004F576E" w:rsidRPr="000A57FE" w:rsidRDefault="00B622B8" w:rsidP="00B622B8">
      <w:pPr>
        <w:spacing w:after="0" w:line="480" w:lineRule="auto"/>
        <w:ind w:firstLine="720"/>
        <w:rPr>
          <w:rFonts w:ascii="Times New Roman" w:hAnsi="Times New Roman" w:cs="Times New Roman"/>
          <w:sz w:val="24"/>
          <w:szCs w:val="24"/>
        </w:rPr>
      </w:pPr>
      <w:r w:rsidRPr="00B622B8">
        <w:rPr>
          <w:rFonts w:ascii="Times New Roman" w:hAnsi="Times New Roman" w:cs="Times New Roman"/>
          <w:sz w:val="24"/>
          <w:szCs w:val="24"/>
        </w:rPr>
        <w:t>In The Hunt for Red October, the interpretive problem that confronts the CIA analyst whether the Soviet commander is fleeing or undertaking a covert offensive mission exactly mirrors the uncertainty of intelligence analysts in the real world when confronted by the mystery of K-129's final voyage, and the psychology of Cold War global relations more generally. This narrative resonates with the recorded case of Vasili Arkhipov, whose singular refusal, during the Cuban Missile Crisis, to approve the launch of a nuclear torpedo pre-empted nuclear Armageddon, demonstrating how individual Soviet officers actually had a decisive impact on nuclear history from within cryptic decision-making processes (Nocturnal Aviation, 2017). Similarly, American intelligence analysts faced an interpretive dilemma of precisely the same nature when trying to divine Soviet motives from the scraps of reporting, while risking the potential for nuclear calamity loomed large</w:t>
      </w:r>
      <w:r>
        <w:rPr>
          <w:rFonts w:ascii="Times New Roman" w:hAnsi="Times New Roman" w:cs="Times New Roman"/>
          <w:sz w:val="24"/>
          <w:szCs w:val="24"/>
        </w:rPr>
        <w:t xml:space="preserve"> </w:t>
      </w:r>
      <w:r w:rsidRPr="00B622B8">
        <w:rPr>
          <w:rFonts w:ascii="Times New Roman" w:hAnsi="Times New Roman" w:cs="Times New Roman"/>
          <w:sz w:val="24"/>
          <w:szCs w:val="24"/>
        </w:rPr>
        <w:t>(McTiernan, 1990; Aid et al 2010). The film is thus not just a movie, but inadvertently serves as an archive for Cold War intelligence culture and its dominant anxieties.</w:t>
      </w:r>
    </w:p>
    <w:p w14:paraId="09F638D1" w14:textId="0469EA33" w:rsidR="004F576E" w:rsidRPr="000A57FE" w:rsidRDefault="00867E3B" w:rsidP="000A57FE">
      <w:pPr>
        <w:spacing w:after="0" w:line="480" w:lineRule="auto"/>
        <w:ind w:firstLine="720"/>
        <w:jc w:val="center"/>
        <w:rPr>
          <w:rFonts w:ascii="Times New Roman" w:hAnsi="Times New Roman" w:cs="Times New Roman"/>
          <w:b/>
          <w:bCs/>
          <w:sz w:val="24"/>
          <w:szCs w:val="24"/>
        </w:rPr>
      </w:pPr>
      <w:r w:rsidRPr="000A57FE">
        <w:rPr>
          <w:rFonts w:ascii="Times New Roman" w:hAnsi="Times New Roman" w:cs="Times New Roman"/>
          <w:b/>
          <w:bCs/>
          <w:sz w:val="24"/>
          <w:szCs w:val="24"/>
        </w:rPr>
        <w:t xml:space="preserve">Assignment </w:t>
      </w:r>
      <w:r w:rsidR="004F576E" w:rsidRPr="000A57FE">
        <w:rPr>
          <w:rFonts w:ascii="Times New Roman" w:hAnsi="Times New Roman" w:cs="Times New Roman"/>
          <w:b/>
          <w:bCs/>
          <w:sz w:val="24"/>
          <w:szCs w:val="24"/>
        </w:rPr>
        <w:t>3</w:t>
      </w:r>
    </w:p>
    <w:p w14:paraId="55425492" w14:textId="37BA1827" w:rsidR="00B622B8" w:rsidRPr="00B622B8" w:rsidRDefault="00B622B8" w:rsidP="00B622B8">
      <w:pPr>
        <w:spacing w:after="0" w:line="480" w:lineRule="auto"/>
        <w:ind w:firstLine="720"/>
        <w:rPr>
          <w:rFonts w:ascii="Times New Roman" w:hAnsi="Times New Roman" w:cs="Times New Roman"/>
          <w:sz w:val="24"/>
          <w:szCs w:val="24"/>
        </w:rPr>
      </w:pPr>
      <w:r w:rsidRPr="00B622B8">
        <w:rPr>
          <w:rFonts w:ascii="Times New Roman" w:hAnsi="Times New Roman" w:cs="Times New Roman"/>
          <w:sz w:val="24"/>
          <w:szCs w:val="24"/>
        </w:rPr>
        <w:t xml:space="preserve">The strategic deployment of Russian oil tankers to Cuba, in defiance of current US sanctions, is unambiguously an exercise in geopolitical push and pull as Russia seeks to test US influence in the region through energy politics. Three months after the US imposed sanctions limiting oil exports to Cuba, Russian energy minister Sergei </w:t>
      </w:r>
      <w:proofErr w:type="spellStart"/>
      <w:r w:rsidRPr="00B622B8">
        <w:rPr>
          <w:rFonts w:ascii="Times New Roman" w:hAnsi="Times New Roman" w:cs="Times New Roman"/>
          <w:sz w:val="24"/>
          <w:szCs w:val="24"/>
        </w:rPr>
        <w:t>Tsivilyov</w:t>
      </w:r>
      <w:proofErr w:type="spellEnd"/>
      <w:r w:rsidRPr="00B622B8">
        <w:rPr>
          <w:rFonts w:ascii="Times New Roman" w:hAnsi="Times New Roman" w:cs="Times New Roman"/>
          <w:sz w:val="24"/>
          <w:szCs w:val="24"/>
        </w:rPr>
        <w:t xml:space="preserve"> officially acknowledged </w:t>
      </w:r>
      <w:r w:rsidRPr="00B622B8">
        <w:rPr>
          <w:rFonts w:ascii="Times New Roman" w:hAnsi="Times New Roman" w:cs="Times New Roman"/>
          <w:sz w:val="24"/>
          <w:szCs w:val="24"/>
        </w:rPr>
        <w:lastRenderedPageBreak/>
        <w:t>the deployment of a second tanker carrying about 730,000 barrels of oil, to make it clear that Russia would not leave Cuba (</w:t>
      </w:r>
      <w:proofErr w:type="spellStart"/>
      <w:r w:rsidRPr="00B622B8">
        <w:rPr>
          <w:rFonts w:ascii="Times New Roman" w:hAnsi="Times New Roman" w:cs="Times New Roman"/>
          <w:sz w:val="24"/>
          <w:szCs w:val="24"/>
        </w:rPr>
        <w:t>Bubola</w:t>
      </w:r>
      <w:proofErr w:type="spellEnd"/>
      <w:r w:rsidRPr="00B622B8">
        <w:rPr>
          <w:rFonts w:ascii="Times New Roman" w:hAnsi="Times New Roman" w:cs="Times New Roman"/>
          <w:sz w:val="24"/>
          <w:szCs w:val="24"/>
        </w:rPr>
        <w:t>, 2026). Despite the White House's interpretation of the Coast Guard's decision to not intercept the first tanker as a humanitarian pardon rather than a change in US policy, the second deployment left no room for doubt of Russia's intentions. This is in line with the precedent set by the Soviet Union for employing civilian maritime cargo ships to advance geopolitical objectives below the level of conflict in a manner well documented by Cold War-era intelligence documents</w:t>
      </w:r>
      <w:r>
        <w:rPr>
          <w:rFonts w:ascii="Times New Roman" w:hAnsi="Times New Roman" w:cs="Times New Roman"/>
          <w:sz w:val="24"/>
          <w:szCs w:val="24"/>
        </w:rPr>
        <w:t>.</w:t>
      </w:r>
    </w:p>
    <w:p w14:paraId="6CB33582" w14:textId="77777777" w:rsidR="00B622B8" w:rsidRPr="00B622B8" w:rsidRDefault="00B622B8" w:rsidP="00B622B8">
      <w:pPr>
        <w:spacing w:after="0" w:line="480" w:lineRule="auto"/>
        <w:ind w:firstLine="720"/>
        <w:rPr>
          <w:rFonts w:ascii="Times New Roman" w:hAnsi="Times New Roman" w:cs="Times New Roman"/>
          <w:sz w:val="24"/>
          <w:szCs w:val="24"/>
        </w:rPr>
      </w:pPr>
      <w:r w:rsidRPr="00B622B8">
        <w:rPr>
          <w:rFonts w:ascii="Times New Roman" w:hAnsi="Times New Roman" w:cs="Times New Roman"/>
          <w:sz w:val="24"/>
          <w:szCs w:val="24"/>
        </w:rPr>
        <w:t>The Cold War Cuban Missile Crisis provides direct operational precedent to support the plausibility that present Russian tanker deployments are likely to have civilian energy missions as well as other purposes. Soviet concealment of nuclear warheads aboard merchant vessels until photographic evidence from US surveillance flights offered irrefutable evidence set a precedent of civilian merchant vessel cover that is operationally feasible in 2018 (Nocturnal Aviation, 2017). Theoretically airtight canisters of nuclear weaponry submerged in millions of barrels of crude oil would render external radiation sensors useless and effective inspection without physical engagement near impossible (</w:t>
      </w:r>
      <w:proofErr w:type="spellStart"/>
      <w:r w:rsidRPr="00B622B8">
        <w:rPr>
          <w:rFonts w:ascii="Times New Roman" w:hAnsi="Times New Roman" w:cs="Times New Roman"/>
          <w:sz w:val="24"/>
          <w:szCs w:val="24"/>
        </w:rPr>
        <w:t>Bubola</w:t>
      </w:r>
      <w:proofErr w:type="spellEnd"/>
      <w:r w:rsidRPr="00B622B8">
        <w:rPr>
          <w:rFonts w:ascii="Times New Roman" w:hAnsi="Times New Roman" w:cs="Times New Roman"/>
          <w:sz w:val="24"/>
          <w:szCs w:val="24"/>
        </w:rPr>
        <w:t>, 2026). This model should not be discounted as a thing of the past given the same global players are engaging in unmistakably similar maritime activities in the same geopolitically critical environment.</w:t>
      </w:r>
    </w:p>
    <w:p w14:paraId="2540ECA1" w14:textId="304A9862" w:rsidR="004F576E" w:rsidRPr="000A57FE" w:rsidRDefault="00B622B8" w:rsidP="00B622B8">
      <w:pPr>
        <w:spacing w:after="0" w:line="480" w:lineRule="auto"/>
        <w:ind w:firstLine="720"/>
        <w:rPr>
          <w:rFonts w:ascii="Times New Roman" w:hAnsi="Times New Roman" w:cs="Times New Roman"/>
          <w:sz w:val="24"/>
          <w:szCs w:val="24"/>
        </w:rPr>
      </w:pPr>
      <w:r w:rsidRPr="00B622B8">
        <w:rPr>
          <w:rFonts w:ascii="Times New Roman" w:hAnsi="Times New Roman" w:cs="Times New Roman"/>
          <w:sz w:val="24"/>
          <w:szCs w:val="24"/>
        </w:rPr>
        <w:t>The nightmare scenario that a training vessel, the Empire State TSES7, has been given instructions to intercept the second Russian tanker vessel prior to its breaching of the declared naval blockade of Cuban waters is thus a logical and legal escalation of the intelligence threat assessment posited by the tanker's movement patterns (</w:t>
      </w:r>
      <w:proofErr w:type="spellStart"/>
      <w:r w:rsidRPr="00B622B8">
        <w:rPr>
          <w:rFonts w:ascii="Times New Roman" w:hAnsi="Times New Roman" w:cs="Times New Roman"/>
          <w:sz w:val="24"/>
          <w:szCs w:val="24"/>
        </w:rPr>
        <w:t>Bubola</w:t>
      </w:r>
      <w:proofErr w:type="spellEnd"/>
      <w:r w:rsidRPr="00B622B8">
        <w:rPr>
          <w:rFonts w:ascii="Times New Roman" w:hAnsi="Times New Roman" w:cs="Times New Roman"/>
          <w:sz w:val="24"/>
          <w:szCs w:val="24"/>
        </w:rPr>
        <w:t xml:space="preserve">, 2016). According to applicable international war law and delegated authority of command, the Empire State would have a full legal leg to exercise, ordering a halt, a boarding, and if contraband or illegal cargo of any nature </w:t>
      </w:r>
      <w:r w:rsidRPr="00B622B8">
        <w:rPr>
          <w:rFonts w:ascii="Times New Roman" w:hAnsi="Times New Roman" w:cs="Times New Roman"/>
          <w:sz w:val="24"/>
          <w:szCs w:val="24"/>
        </w:rPr>
        <w:lastRenderedPageBreak/>
        <w:t>were discovered, the armed transfer to Naval Station Guantanamo Bay for seizure and prosecution under international law (</w:t>
      </w:r>
      <w:proofErr w:type="spellStart"/>
      <w:r w:rsidRPr="00B622B8">
        <w:rPr>
          <w:rFonts w:ascii="Times New Roman" w:hAnsi="Times New Roman" w:cs="Times New Roman"/>
          <w:sz w:val="24"/>
          <w:szCs w:val="24"/>
        </w:rPr>
        <w:t>Bubola</w:t>
      </w:r>
      <w:proofErr w:type="spellEnd"/>
      <w:r w:rsidRPr="00B622B8">
        <w:rPr>
          <w:rFonts w:ascii="Times New Roman" w:hAnsi="Times New Roman" w:cs="Times New Roman"/>
          <w:sz w:val="24"/>
          <w:szCs w:val="24"/>
        </w:rPr>
        <w:t>, 2026</w:t>
      </w:r>
      <w:r>
        <w:rPr>
          <w:rFonts w:ascii="Times New Roman" w:hAnsi="Times New Roman" w:cs="Times New Roman"/>
          <w:sz w:val="24"/>
          <w:szCs w:val="24"/>
        </w:rPr>
        <w:t xml:space="preserve">). </w:t>
      </w:r>
      <w:r w:rsidRPr="00B622B8">
        <w:rPr>
          <w:rFonts w:ascii="Times New Roman" w:hAnsi="Times New Roman" w:cs="Times New Roman"/>
          <w:sz w:val="24"/>
          <w:szCs w:val="24"/>
        </w:rPr>
        <w:t>This case study serves to highlight all too vividly how Cold War-era patterns of surreptitious deniable provocation are not simply abandoned but repurposed in the current geopolitical environment, with the Cuban theatre once again the flashpoint for the interaction, collision and escalation of American and Russian strategic priorities.</w:t>
      </w:r>
    </w:p>
    <w:p w14:paraId="46C2AFE2" w14:textId="77777777" w:rsidR="004F576E" w:rsidRPr="000A57FE" w:rsidRDefault="004F576E" w:rsidP="000A57FE">
      <w:pPr>
        <w:pStyle w:val="Heading1"/>
        <w:rPr>
          <w:rFonts w:cs="Times New Roman"/>
          <w:szCs w:val="24"/>
        </w:rPr>
      </w:pPr>
      <w:r w:rsidRPr="000A57FE">
        <w:rPr>
          <w:rFonts w:cs="Times New Roman"/>
          <w:szCs w:val="24"/>
        </w:rPr>
        <w:t>Assignment 4</w:t>
      </w:r>
    </w:p>
    <w:p w14:paraId="35E2514F" w14:textId="77777777"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Q1. Why did Soviet submariners only learn their destination once they left the Arctic Circle?</w:t>
      </w:r>
    </w:p>
    <w:p w14:paraId="4656263B" w14:textId="3D0D798F"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A. They did not know their destination because their orders were in a sealed envelope, and they could not be opened until at sea.</w:t>
      </w:r>
    </w:p>
    <w:p w14:paraId="720579CD" w14:textId="77777777"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Q2. Why burned Arkhipov his letters?</w:t>
      </w:r>
    </w:p>
    <w:p w14:paraId="571E9B8B" w14:textId="48FD3E83"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A. As well as superstition, it was a symptom of his recognition that this intervention might not be a success.</w:t>
      </w:r>
    </w:p>
    <w:p w14:paraId="4C41F6E4" w14:textId="77777777"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Q3. What did make the three authorizations for firing the nuclear torpedo necessary on B-59 but not the other submarines?</w:t>
      </w:r>
    </w:p>
    <w:p w14:paraId="19A9690A" w14:textId="36540015"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 xml:space="preserve">A. B-59 was the fleet commander's submarine; Arkhipov's presence specifically added the third layer of </w:t>
      </w:r>
      <w:r w:rsidR="00867E3B" w:rsidRPr="000A57FE">
        <w:rPr>
          <w:rFonts w:ascii="Times New Roman" w:hAnsi="Times New Roman" w:cs="Times New Roman"/>
          <w:sz w:val="24"/>
          <w:szCs w:val="24"/>
        </w:rPr>
        <w:t>authorization</w:t>
      </w:r>
      <w:r w:rsidRPr="000A57FE">
        <w:rPr>
          <w:rFonts w:ascii="Times New Roman" w:hAnsi="Times New Roman" w:cs="Times New Roman"/>
          <w:sz w:val="24"/>
          <w:szCs w:val="24"/>
        </w:rPr>
        <w:t xml:space="preserve"> that was not required by the other submarines.</w:t>
      </w:r>
    </w:p>
    <w:p w14:paraId="132F60CE" w14:textId="77777777"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Q4. What made the use of diesel-electric subs problematic in this operation?</w:t>
      </w:r>
    </w:p>
    <w:p w14:paraId="1BA16CD8" w14:textId="4F93ECF6"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A. These subs had to surface to charge their batteries and were thereby exposed to discovery by the Americans many times on their Atlantic journey.</w:t>
      </w:r>
    </w:p>
    <w:p w14:paraId="1AD9622D" w14:textId="41423FBB"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 xml:space="preserve">Q5. How were the conditions of the Hurricane Ella </w:t>
      </w:r>
      <w:r w:rsidR="00867E3B" w:rsidRPr="000A57FE">
        <w:rPr>
          <w:rFonts w:ascii="Times New Roman" w:hAnsi="Times New Roman" w:cs="Times New Roman"/>
          <w:sz w:val="24"/>
          <w:szCs w:val="24"/>
        </w:rPr>
        <w:t>favorable</w:t>
      </w:r>
      <w:r w:rsidRPr="000A57FE">
        <w:rPr>
          <w:rFonts w:ascii="Times New Roman" w:hAnsi="Times New Roman" w:cs="Times New Roman"/>
          <w:sz w:val="24"/>
          <w:szCs w:val="24"/>
        </w:rPr>
        <w:t xml:space="preserve"> for the Soviet submarines?</w:t>
      </w:r>
    </w:p>
    <w:p w14:paraId="20982BAC" w14:textId="566DDCFD"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lastRenderedPageBreak/>
        <w:t>A. The storm cloud cover prevented American aircraft from locating the submarines and affected the U.S. sonar, allowing the subs the vital time to transit the middle Atlantic Ocean</w:t>
      </w:r>
      <w:r w:rsidR="00867E3B" w:rsidRPr="000A57FE">
        <w:rPr>
          <w:rFonts w:ascii="Times New Roman" w:hAnsi="Times New Roman" w:cs="Times New Roman"/>
          <w:sz w:val="24"/>
          <w:szCs w:val="24"/>
        </w:rPr>
        <w:t xml:space="preserve"> </w:t>
      </w:r>
      <w:r w:rsidR="00867E3B" w:rsidRPr="000A57FE">
        <w:rPr>
          <w:rFonts w:ascii="Times New Roman" w:hAnsi="Times New Roman" w:cs="Times New Roman"/>
          <w:sz w:val="24"/>
          <w:szCs w:val="24"/>
        </w:rPr>
        <w:fldChar w:fldCharType="begin"/>
      </w:r>
      <w:r w:rsidR="00867E3B" w:rsidRPr="000A57FE">
        <w:rPr>
          <w:rFonts w:ascii="Times New Roman" w:hAnsi="Times New Roman" w:cs="Times New Roman"/>
          <w:sz w:val="24"/>
          <w:szCs w:val="24"/>
        </w:rPr>
        <w:instrText xml:space="preserve"> ADDIN ZOTERO_ITEM CSL_CITATION {"citationID":"l6vEnNJj","properties":{"unsorted":false,"formattedCitation":"(Nocturnal Aviation, 2017)","plainCitation":"(Nocturnal Aviation, 2017)","noteIndex":0},"citationItems":[{"id":16813,"uris":["http://zotero.org/users/local/tDp9ODyy/items/J6JI9HJI"],"itemData":{"id":16813,"type":"motion_picture","abstract":"In October 1962, the world held its breath. On the edge of the Caribbean Sea, just a few miles from the Florida coast, the two great superpowers were at a stand-off. Surrounded by twelve US destroyers, which were depth-charging his submarine to drive it to the surface, Captain Vitali Grigorievitch Savitsky panicked. Unable to contact Moscow and fearing war had begun, he ordered the launch of his submarine’s nuclear torpedoes. As the two sides inched p","dimensions":"53:40","source":"YouTube","title":"PBS The Man Who Saved the World","URL":"https://www.youtube.com/watch?v=KH0m96P1feI","author":[{"literal":"Nocturnal Aviation"}],"accessed":{"date-parts":[["2026",4,26]]},"issued":{"date-parts":[["2017",9,5]]}}}],"schema":"https://github.com/citation-style-language/schema/raw/master/csl-citation.json"} </w:instrText>
      </w:r>
      <w:r w:rsidR="00867E3B" w:rsidRPr="000A57FE">
        <w:rPr>
          <w:rFonts w:ascii="Times New Roman" w:hAnsi="Times New Roman" w:cs="Times New Roman"/>
          <w:sz w:val="24"/>
          <w:szCs w:val="24"/>
        </w:rPr>
        <w:fldChar w:fldCharType="separate"/>
      </w:r>
      <w:r w:rsidR="00867E3B" w:rsidRPr="000A57FE">
        <w:rPr>
          <w:rFonts w:ascii="Times New Roman" w:hAnsi="Times New Roman" w:cs="Times New Roman"/>
          <w:sz w:val="24"/>
          <w:szCs w:val="24"/>
        </w:rPr>
        <w:t>(Nocturnal Aviation, 2017)</w:t>
      </w:r>
      <w:r w:rsidR="00867E3B" w:rsidRPr="000A57FE">
        <w:rPr>
          <w:rFonts w:ascii="Times New Roman" w:hAnsi="Times New Roman" w:cs="Times New Roman"/>
          <w:sz w:val="24"/>
          <w:szCs w:val="24"/>
        </w:rPr>
        <w:fldChar w:fldCharType="end"/>
      </w:r>
      <w:r w:rsidRPr="000A57FE">
        <w:rPr>
          <w:rFonts w:ascii="Times New Roman" w:hAnsi="Times New Roman" w:cs="Times New Roman"/>
          <w:sz w:val="24"/>
          <w:szCs w:val="24"/>
        </w:rPr>
        <w:t>.</w:t>
      </w:r>
    </w:p>
    <w:p w14:paraId="08D0185D" w14:textId="77777777"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Q6. Why were conditions on board B-59 so dire when Americans found it?</w:t>
      </w:r>
    </w:p>
    <w:p w14:paraId="32436813" w14:textId="36AA7463"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A. Not designed for the Sargasso, the submarine did not have air conditioning, its temperatures rose to over 120 degrees and water was rationed at a glass a day.</w:t>
      </w:r>
    </w:p>
    <w:p w14:paraId="5EFC74E5" w14:textId="77777777"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Q7. How could the crew of the B-59 have mistaken American practice depth charges for an attack?</w:t>
      </w:r>
    </w:p>
    <w:p w14:paraId="161D66C9" w14:textId="443FBDED"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A. Soviet surfacing operations were completely different to American practice, and with the command's Moscow communications down for more than a week, there was no way for the crew to know what they did or didn't mean.</w:t>
      </w:r>
    </w:p>
    <w:p w14:paraId="00FCEE96" w14:textId="77777777"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Q8. How did Arkhipov's prior K-19 experience make him reluctant to order nuclear launch?</w:t>
      </w:r>
    </w:p>
    <w:p w14:paraId="0259A180" w14:textId="5C65FD45"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A. Arkhipov had firsthand experience of the human toll of nuclear conflict, having seen his crewmates die of radiation poisoning when K-19's reactors melted down, and so was unwilling to consider enacting it, even under the most perilous situations.</w:t>
      </w:r>
    </w:p>
    <w:p w14:paraId="43955709" w14:textId="77777777"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Q9. What made the decision to use the nuclear torpedo reasonable for Captain Savitsky?</w:t>
      </w:r>
    </w:p>
    <w:p w14:paraId="5338C7B3" w14:textId="4FB2278B"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A. He had gone more than seven days without orders, the situation on board was dire and the crew was under constant bombardment by US forces - in Savitsky's mind this was surely a state of war.</w:t>
      </w:r>
    </w:p>
    <w:p w14:paraId="4451FDF0" w14:textId="77777777"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Q10. So why did Arkhipov's veto prevent nuclear war?</w:t>
      </w:r>
    </w:p>
    <w:p w14:paraId="1887A6D9" w14:textId="0080F5C4"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 xml:space="preserve">A. The captain and political officer were both in agreement: this gave two of the three necessary </w:t>
      </w:r>
      <w:r w:rsidR="00867E3B" w:rsidRPr="000A57FE">
        <w:rPr>
          <w:rFonts w:ascii="Times New Roman" w:hAnsi="Times New Roman" w:cs="Times New Roman"/>
          <w:sz w:val="24"/>
          <w:szCs w:val="24"/>
        </w:rPr>
        <w:t>authorizations</w:t>
      </w:r>
      <w:r w:rsidRPr="000A57FE">
        <w:rPr>
          <w:rFonts w:ascii="Times New Roman" w:hAnsi="Times New Roman" w:cs="Times New Roman"/>
          <w:sz w:val="24"/>
          <w:szCs w:val="24"/>
        </w:rPr>
        <w:t xml:space="preserve"> for launching the torpedo, with Arkhipov now being the single remaining stumbling block.</w:t>
      </w:r>
    </w:p>
    <w:p w14:paraId="27189153" w14:textId="77777777"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lastRenderedPageBreak/>
        <w:t>Q11. Why did Kennedy water down his order to destroy B-59, even after the Soviet submarine came under his command?</w:t>
      </w:r>
    </w:p>
    <w:p w14:paraId="748BE35B" w14:textId="1CF504BB"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A. Kennedy wanted to avoid a definitive act of war against the Soviets without destroying one of their subs, and so he ordered it to surface.</w:t>
      </w:r>
    </w:p>
    <w:p w14:paraId="359E21D4" w14:textId="77777777"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Q12. Why were Soviet submariners heroes on their return?</w:t>
      </w:r>
    </w:p>
    <w:p w14:paraId="0E84A0F4" w14:textId="221376E9"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A. Their surfacing was seen by naval forces as a spit in the face, with reports officers were told to sink with their vessels rather than surface.</w:t>
      </w:r>
    </w:p>
    <w:p w14:paraId="111F6971" w14:textId="2B153C70"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Q13. Why</w:t>
      </w:r>
      <w:r w:rsidR="000A57FE" w:rsidRPr="000A57FE">
        <w:rPr>
          <w:rFonts w:ascii="Times New Roman" w:hAnsi="Times New Roman" w:cs="Times New Roman"/>
          <w:sz w:val="24"/>
          <w:szCs w:val="24"/>
        </w:rPr>
        <w:t xml:space="preserve"> c</w:t>
      </w:r>
      <w:r w:rsidRPr="000A57FE">
        <w:rPr>
          <w:rFonts w:ascii="Times New Roman" w:hAnsi="Times New Roman" w:cs="Times New Roman"/>
          <w:sz w:val="24"/>
          <w:szCs w:val="24"/>
        </w:rPr>
        <w:t>ouldn't the truth be told until 1998?</w:t>
      </w:r>
    </w:p>
    <w:p w14:paraId="7D1CBB62" w14:textId="3AAF8F76"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A. It wasn't until a press conference in 2002 that radio operator Vadim Orlov revealed the submarines were armed with nuclear torpedoes and only one man's refusal stopped the torpedoes being fired.</w:t>
      </w:r>
    </w:p>
    <w:p w14:paraId="524DACAA" w14:textId="77777777"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Q14. Why was Arkhipov's sole refusal more than one torpedo?</w:t>
      </w:r>
    </w:p>
    <w:p w14:paraId="08E5DE96" w14:textId="603290E8" w:rsidR="004F576E"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A. The doctrine of mutually assured destruction ensured that any launch would cause an automatic escalation of air and missile strikes from both sides, and Arkhipov's refusal was not only the deciding factor between one torpedo or the end of humanity.</w:t>
      </w:r>
    </w:p>
    <w:p w14:paraId="7598D863" w14:textId="77777777" w:rsidR="004F576E" w:rsidRPr="000A57FE" w:rsidRDefault="004F576E"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t>Q15. In what ways are Arkhipov's last moments parallel to his greatest moment?</w:t>
      </w:r>
    </w:p>
    <w:p w14:paraId="7C6FF8E1" w14:textId="596A6635" w:rsidR="00646202" w:rsidRPr="000A57FE" w:rsidRDefault="004F576E" w:rsidP="000A57FE">
      <w:pPr>
        <w:spacing w:after="0" w:line="480" w:lineRule="auto"/>
        <w:ind w:firstLine="720"/>
        <w:rPr>
          <w:rFonts w:ascii="Times New Roman" w:hAnsi="Times New Roman" w:cs="Times New Roman"/>
          <w:sz w:val="24"/>
          <w:szCs w:val="24"/>
        </w:rPr>
      </w:pPr>
      <w:r w:rsidRPr="000A57FE">
        <w:rPr>
          <w:rFonts w:ascii="Times New Roman" w:hAnsi="Times New Roman" w:cs="Times New Roman"/>
          <w:sz w:val="24"/>
          <w:szCs w:val="24"/>
        </w:rPr>
        <w:t>A. In refusing to launch nuclear weapons, Arkhipov saved the world but he himself ultimately died from radiation contracted on board K-19, so he was the only casualty to be claimed by nuclear warfare.</w:t>
      </w:r>
    </w:p>
    <w:p w14:paraId="20675C09" w14:textId="77777777" w:rsidR="00161ACF" w:rsidRPr="000A57FE" w:rsidRDefault="00161ACF" w:rsidP="000A57FE">
      <w:pPr>
        <w:spacing w:after="0" w:line="480" w:lineRule="auto"/>
        <w:rPr>
          <w:rFonts w:ascii="Times New Roman" w:eastAsiaTheme="majorEastAsia" w:hAnsi="Times New Roman" w:cs="Times New Roman"/>
          <w:b/>
          <w:sz w:val="24"/>
          <w:szCs w:val="24"/>
        </w:rPr>
      </w:pPr>
      <w:r w:rsidRPr="000A57FE">
        <w:rPr>
          <w:rFonts w:ascii="Times New Roman" w:hAnsi="Times New Roman" w:cs="Times New Roman"/>
          <w:sz w:val="24"/>
          <w:szCs w:val="24"/>
        </w:rPr>
        <w:br w:type="page"/>
      </w:r>
    </w:p>
    <w:p w14:paraId="5109E29E" w14:textId="1CD487B8" w:rsidR="007840C9" w:rsidRPr="000A57FE" w:rsidRDefault="007840C9" w:rsidP="000A57FE">
      <w:pPr>
        <w:pStyle w:val="Heading1"/>
        <w:rPr>
          <w:rFonts w:cs="Times New Roman"/>
          <w:szCs w:val="24"/>
        </w:rPr>
      </w:pPr>
      <w:r w:rsidRPr="000A57FE">
        <w:rPr>
          <w:rFonts w:cs="Times New Roman"/>
          <w:szCs w:val="24"/>
        </w:rPr>
        <w:lastRenderedPageBreak/>
        <w:t>References</w:t>
      </w:r>
    </w:p>
    <w:p w14:paraId="3D8F1F40" w14:textId="74A56A12" w:rsidR="00867E3B" w:rsidRPr="000A57FE" w:rsidRDefault="007840C9" w:rsidP="000A57FE">
      <w:pPr>
        <w:pStyle w:val="Bibliography"/>
        <w:rPr>
          <w:rFonts w:ascii="Times New Roman" w:hAnsi="Times New Roman" w:cs="Times New Roman"/>
          <w:sz w:val="24"/>
          <w:szCs w:val="24"/>
        </w:rPr>
      </w:pPr>
      <w:r w:rsidRPr="000A57FE">
        <w:rPr>
          <w:rFonts w:ascii="Times New Roman" w:hAnsi="Times New Roman" w:cs="Times New Roman"/>
          <w:sz w:val="24"/>
          <w:szCs w:val="24"/>
        </w:rPr>
        <w:fldChar w:fldCharType="begin"/>
      </w:r>
      <w:r w:rsidRPr="000A57FE">
        <w:rPr>
          <w:rFonts w:ascii="Times New Roman" w:hAnsi="Times New Roman" w:cs="Times New Roman"/>
          <w:sz w:val="24"/>
          <w:szCs w:val="24"/>
        </w:rPr>
        <w:instrText xml:space="preserve"> ADDIN ZOTERO_BIBL {"uncited":[],"omitted":[],"custom":[]} CSL_BIBLIOGRAPHY </w:instrText>
      </w:r>
      <w:r w:rsidRPr="000A57FE">
        <w:rPr>
          <w:rFonts w:ascii="Times New Roman" w:hAnsi="Times New Roman" w:cs="Times New Roman"/>
          <w:sz w:val="24"/>
          <w:szCs w:val="24"/>
        </w:rPr>
        <w:fldChar w:fldCharType="separate"/>
      </w:r>
      <w:r w:rsidR="00867E3B" w:rsidRPr="000A57FE">
        <w:rPr>
          <w:rFonts w:ascii="Times New Roman" w:hAnsi="Times New Roman" w:cs="Times New Roman"/>
          <w:sz w:val="24"/>
          <w:szCs w:val="24"/>
        </w:rPr>
        <w:t xml:space="preserve">Aid, M., Burr, W., &amp; Blanton, T. (Eds.). (2010). </w:t>
      </w:r>
      <w:r w:rsidR="00867E3B" w:rsidRPr="000A57FE">
        <w:rPr>
          <w:rFonts w:ascii="Times New Roman" w:hAnsi="Times New Roman" w:cs="Times New Roman"/>
          <w:i/>
          <w:iCs/>
          <w:sz w:val="24"/>
          <w:szCs w:val="24"/>
        </w:rPr>
        <w:t>Project Azorian: The CIA’s Declassified History of the Glomar Explorer</w:t>
      </w:r>
      <w:r w:rsidR="00867E3B" w:rsidRPr="000A57FE">
        <w:rPr>
          <w:rFonts w:ascii="Times New Roman" w:hAnsi="Times New Roman" w:cs="Times New Roman"/>
          <w:sz w:val="24"/>
          <w:szCs w:val="24"/>
        </w:rPr>
        <w:t xml:space="preserve">. </w:t>
      </w:r>
      <w:hyperlink r:id="rId6" w:history="1">
        <w:r w:rsidR="00867E3B" w:rsidRPr="000A57FE">
          <w:rPr>
            <w:rStyle w:val="Hyperlink"/>
            <w:rFonts w:ascii="Times New Roman" w:hAnsi="Times New Roman" w:cs="Times New Roman"/>
            <w:sz w:val="24"/>
            <w:szCs w:val="24"/>
          </w:rPr>
          <w:t>https://nsarchive2.gwu.edu/nukevault/ebb305/index.htm</w:t>
        </w:r>
      </w:hyperlink>
    </w:p>
    <w:p w14:paraId="36AEAB66" w14:textId="1B42A862" w:rsidR="00867E3B" w:rsidRPr="000A57FE" w:rsidRDefault="00867E3B" w:rsidP="000A57FE">
      <w:pPr>
        <w:pStyle w:val="Bibliography"/>
        <w:rPr>
          <w:rFonts w:ascii="Times New Roman" w:hAnsi="Times New Roman" w:cs="Times New Roman"/>
          <w:sz w:val="24"/>
          <w:szCs w:val="24"/>
        </w:rPr>
      </w:pPr>
      <w:r w:rsidRPr="000A57FE">
        <w:rPr>
          <w:rFonts w:ascii="Times New Roman" w:hAnsi="Times New Roman" w:cs="Times New Roman"/>
          <w:sz w:val="24"/>
          <w:szCs w:val="24"/>
        </w:rPr>
        <w:t xml:space="preserve">Bubola, E. (2026, April 2). Russia Is Sending a Second Oil Tanker to Fuel-Starved Cuba. </w:t>
      </w:r>
      <w:r w:rsidRPr="000A57FE">
        <w:rPr>
          <w:rFonts w:ascii="Times New Roman" w:hAnsi="Times New Roman" w:cs="Times New Roman"/>
          <w:i/>
          <w:iCs/>
          <w:sz w:val="24"/>
          <w:szCs w:val="24"/>
        </w:rPr>
        <w:t>The New York Times</w:t>
      </w:r>
      <w:r w:rsidRPr="000A57FE">
        <w:rPr>
          <w:rFonts w:ascii="Times New Roman" w:hAnsi="Times New Roman" w:cs="Times New Roman"/>
          <w:sz w:val="24"/>
          <w:szCs w:val="24"/>
        </w:rPr>
        <w:t xml:space="preserve">. </w:t>
      </w:r>
      <w:hyperlink r:id="rId7" w:history="1">
        <w:r w:rsidRPr="000A57FE">
          <w:rPr>
            <w:rStyle w:val="Hyperlink"/>
            <w:rFonts w:ascii="Times New Roman" w:hAnsi="Times New Roman" w:cs="Times New Roman"/>
            <w:sz w:val="24"/>
            <w:szCs w:val="24"/>
          </w:rPr>
          <w:t>https://www.nytimes.com/2026/04/02/world/americas/cuba-russia-oil-tanker.html</w:t>
        </w:r>
      </w:hyperlink>
    </w:p>
    <w:p w14:paraId="65F23707" w14:textId="77777777" w:rsidR="00867E3B" w:rsidRPr="000A57FE" w:rsidRDefault="00867E3B" w:rsidP="000A57FE">
      <w:pPr>
        <w:pStyle w:val="Bibliography"/>
        <w:rPr>
          <w:rFonts w:ascii="Times New Roman" w:hAnsi="Times New Roman" w:cs="Times New Roman"/>
          <w:sz w:val="24"/>
          <w:szCs w:val="24"/>
        </w:rPr>
      </w:pPr>
      <w:r w:rsidRPr="000A57FE">
        <w:rPr>
          <w:rFonts w:ascii="Times New Roman" w:hAnsi="Times New Roman" w:cs="Times New Roman"/>
          <w:sz w:val="24"/>
          <w:szCs w:val="24"/>
        </w:rPr>
        <w:t xml:space="preserve">McTiernan, J. (Director). (1990). </w:t>
      </w:r>
      <w:r w:rsidRPr="000A57FE">
        <w:rPr>
          <w:rFonts w:ascii="Times New Roman" w:hAnsi="Times New Roman" w:cs="Times New Roman"/>
          <w:i/>
          <w:iCs/>
          <w:sz w:val="24"/>
          <w:szCs w:val="24"/>
        </w:rPr>
        <w:t>Hunt for Red October</w:t>
      </w:r>
      <w:r w:rsidRPr="000A57FE">
        <w:rPr>
          <w:rFonts w:ascii="Times New Roman" w:hAnsi="Times New Roman" w:cs="Times New Roman"/>
          <w:sz w:val="24"/>
          <w:szCs w:val="24"/>
        </w:rPr>
        <w:t xml:space="preserve"> [Video recording].</w:t>
      </w:r>
    </w:p>
    <w:p w14:paraId="1835F29E" w14:textId="13F3119D" w:rsidR="00867E3B" w:rsidRPr="000A57FE" w:rsidRDefault="00867E3B" w:rsidP="000A57FE">
      <w:pPr>
        <w:pStyle w:val="Bibliography"/>
        <w:rPr>
          <w:rFonts w:ascii="Times New Roman" w:hAnsi="Times New Roman" w:cs="Times New Roman"/>
          <w:sz w:val="24"/>
          <w:szCs w:val="24"/>
        </w:rPr>
      </w:pPr>
      <w:r w:rsidRPr="000A57FE">
        <w:rPr>
          <w:rFonts w:ascii="Times New Roman" w:hAnsi="Times New Roman" w:cs="Times New Roman"/>
          <w:sz w:val="24"/>
          <w:szCs w:val="24"/>
        </w:rPr>
        <w:t xml:space="preserve">Nocturnal Aviation. (2017, September 5). </w:t>
      </w:r>
      <w:r w:rsidRPr="000A57FE">
        <w:rPr>
          <w:rFonts w:ascii="Times New Roman" w:hAnsi="Times New Roman" w:cs="Times New Roman"/>
          <w:i/>
          <w:iCs/>
          <w:sz w:val="24"/>
          <w:szCs w:val="24"/>
        </w:rPr>
        <w:t>PBS The Man Who Saved the World</w:t>
      </w:r>
      <w:r w:rsidRPr="000A57FE">
        <w:rPr>
          <w:rFonts w:ascii="Times New Roman" w:hAnsi="Times New Roman" w:cs="Times New Roman"/>
          <w:sz w:val="24"/>
          <w:szCs w:val="24"/>
        </w:rPr>
        <w:t xml:space="preserve"> [Video recording]. </w:t>
      </w:r>
      <w:hyperlink r:id="rId8" w:history="1">
        <w:r w:rsidRPr="000A57FE">
          <w:rPr>
            <w:rStyle w:val="Hyperlink"/>
            <w:rFonts w:ascii="Times New Roman" w:hAnsi="Times New Roman" w:cs="Times New Roman"/>
            <w:sz w:val="24"/>
            <w:szCs w:val="24"/>
          </w:rPr>
          <w:t>https://www.youtube.com/watch?v=KH0m96P1feI</w:t>
        </w:r>
      </w:hyperlink>
    </w:p>
    <w:p w14:paraId="68A96087" w14:textId="4862B6C9" w:rsidR="00867E3B" w:rsidRPr="000A57FE" w:rsidRDefault="00867E3B" w:rsidP="000A57FE">
      <w:pPr>
        <w:pStyle w:val="Bibliography"/>
        <w:rPr>
          <w:rFonts w:ascii="Times New Roman" w:hAnsi="Times New Roman" w:cs="Times New Roman"/>
          <w:sz w:val="24"/>
          <w:szCs w:val="24"/>
        </w:rPr>
      </w:pPr>
      <w:r w:rsidRPr="000A57FE">
        <w:rPr>
          <w:rFonts w:ascii="Times New Roman" w:hAnsi="Times New Roman" w:cs="Times New Roman"/>
          <w:sz w:val="24"/>
          <w:szCs w:val="24"/>
        </w:rPr>
        <w:t xml:space="preserve">Thulin, L. (2019). </w:t>
      </w:r>
      <w:r w:rsidRPr="000A57FE">
        <w:rPr>
          <w:rFonts w:ascii="Times New Roman" w:hAnsi="Times New Roman" w:cs="Times New Roman"/>
          <w:i/>
          <w:iCs/>
          <w:sz w:val="24"/>
          <w:szCs w:val="24"/>
        </w:rPr>
        <w:t>During the Cold War, the CIA Secretly Plucked a Soviet Submarine From the Ocean Floor Using a Giant Claw</w:t>
      </w:r>
      <w:r w:rsidRPr="000A57FE">
        <w:rPr>
          <w:rFonts w:ascii="Times New Roman" w:hAnsi="Times New Roman" w:cs="Times New Roman"/>
          <w:sz w:val="24"/>
          <w:szCs w:val="24"/>
        </w:rPr>
        <w:t xml:space="preserve">. Smithsonian Magazine. </w:t>
      </w:r>
      <w:hyperlink r:id="rId9" w:history="1">
        <w:r w:rsidRPr="000A57FE">
          <w:rPr>
            <w:rStyle w:val="Hyperlink"/>
            <w:rFonts w:ascii="Times New Roman" w:hAnsi="Times New Roman" w:cs="Times New Roman"/>
            <w:sz w:val="24"/>
            <w:szCs w:val="24"/>
          </w:rPr>
          <w:t>https://www.smithsonianmag.com/history/during-cold-war-ci-secretly-plucked-soviet-submarine-ocean-floor-using-giant-claw-180972154/</w:t>
        </w:r>
      </w:hyperlink>
    </w:p>
    <w:p w14:paraId="3ED0E4B2" w14:textId="13C13C94" w:rsidR="007840C9" w:rsidRPr="000A57FE" w:rsidRDefault="007840C9" w:rsidP="000A57FE">
      <w:pPr>
        <w:spacing w:after="0" w:line="480" w:lineRule="auto"/>
        <w:rPr>
          <w:rFonts w:ascii="Times New Roman" w:hAnsi="Times New Roman" w:cs="Times New Roman"/>
          <w:sz w:val="24"/>
          <w:szCs w:val="24"/>
        </w:rPr>
      </w:pPr>
      <w:r w:rsidRPr="000A57FE">
        <w:rPr>
          <w:rFonts w:ascii="Times New Roman" w:hAnsi="Times New Roman" w:cs="Times New Roman"/>
          <w:sz w:val="24"/>
          <w:szCs w:val="24"/>
        </w:rPr>
        <w:fldChar w:fldCharType="end"/>
      </w:r>
    </w:p>
    <w:sectPr w:rsidR="007840C9" w:rsidRPr="000A57FE" w:rsidSect="000A57FE">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C0F78" w14:textId="77777777" w:rsidR="00627875" w:rsidRDefault="00627875" w:rsidP="007D4598">
      <w:pPr>
        <w:spacing w:after="0" w:line="240" w:lineRule="auto"/>
      </w:pPr>
      <w:r>
        <w:separator/>
      </w:r>
    </w:p>
  </w:endnote>
  <w:endnote w:type="continuationSeparator" w:id="0">
    <w:p w14:paraId="78C1833D" w14:textId="77777777" w:rsidR="00627875" w:rsidRDefault="00627875" w:rsidP="007D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177A0" w14:textId="77777777" w:rsidR="00627875" w:rsidRDefault="00627875" w:rsidP="007D4598">
      <w:pPr>
        <w:spacing w:after="0" w:line="240" w:lineRule="auto"/>
      </w:pPr>
      <w:r>
        <w:separator/>
      </w:r>
    </w:p>
  </w:footnote>
  <w:footnote w:type="continuationSeparator" w:id="0">
    <w:p w14:paraId="6E6A29C7" w14:textId="77777777" w:rsidR="00627875" w:rsidRDefault="00627875" w:rsidP="007D4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902C1" w14:textId="08A33B6E" w:rsidR="007D4598" w:rsidRPr="007D4598" w:rsidRDefault="00000000">
    <w:pPr>
      <w:pStyle w:val="Header"/>
      <w:jc w:val="right"/>
      <w:rPr>
        <w:rFonts w:ascii="Times New Roman" w:hAnsi="Times New Roman" w:cs="Times New Roman"/>
        <w:sz w:val="24"/>
        <w:szCs w:val="24"/>
      </w:rPr>
    </w:pPr>
    <w:sdt>
      <w:sdtPr>
        <w:rPr>
          <w:rFonts w:ascii="Times New Roman" w:hAnsi="Times New Roman" w:cs="Times New Roman"/>
          <w:sz w:val="24"/>
          <w:szCs w:val="24"/>
        </w:rPr>
        <w:id w:val="1079482524"/>
        <w:docPartObj>
          <w:docPartGallery w:val="Page Numbers (Top of Page)"/>
          <w:docPartUnique/>
        </w:docPartObj>
      </w:sdtPr>
      <w:sdtEndPr>
        <w:rPr>
          <w:noProof/>
        </w:rPr>
      </w:sdtEndPr>
      <w:sdtContent>
        <w:r w:rsidR="007D4598">
          <w:rPr>
            <w:rFonts w:ascii="Times New Roman" w:hAnsi="Times New Roman" w:cs="Times New Roman"/>
            <w:sz w:val="24"/>
            <w:szCs w:val="24"/>
          </w:rPr>
          <w:tab/>
        </w:r>
        <w:r w:rsidR="007D4598" w:rsidRPr="007D4598">
          <w:rPr>
            <w:rFonts w:ascii="Times New Roman" w:hAnsi="Times New Roman" w:cs="Times New Roman"/>
            <w:sz w:val="24"/>
            <w:szCs w:val="24"/>
          </w:rPr>
          <w:fldChar w:fldCharType="begin"/>
        </w:r>
        <w:r w:rsidR="007D4598" w:rsidRPr="007D4598">
          <w:rPr>
            <w:rFonts w:ascii="Times New Roman" w:hAnsi="Times New Roman" w:cs="Times New Roman"/>
            <w:sz w:val="24"/>
            <w:szCs w:val="24"/>
          </w:rPr>
          <w:instrText xml:space="preserve"> PAGE   \* MERGEFORMAT </w:instrText>
        </w:r>
        <w:r w:rsidR="007D4598" w:rsidRPr="007D4598">
          <w:rPr>
            <w:rFonts w:ascii="Times New Roman" w:hAnsi="Times New Roman" w:cs="Times New Roman"/>
            <w:sz w:val="24"/>
            <w:szCs w:val="24"/>
          </w:rPr>
          <w:fldChar w:fldCharType="separate"/>
        </w:r>
        <w:r w:rsidR="007D4598" w:rsidRPr="007D4598">
          <w:rPr>
            <w:rFonts w:ascii="Times New Roman" w:hAnsi="Times New Roman" w:cs="Times New Roman"/>
            <w:noProof/>
            <w:sz w:val="24"/>
            <w:szCs w:val="24"/>
          </w:rPr>
          <w:t>2</w:t>
        </w:r>
        <w:r w:rsidR="007D4598" w:rsidRPr="007D4598">
          <w:rPr>
            <w:rFonts w:ascii="Times New Roman" w:hAnsi="Times New Roman" w:cs="Times New Roman"/>
            <w:noProof/>
            <w:sz w:val="24"/>
            <w:szCs w:val="24"/>
          </w:rPr>
          <w:fldChar w:fldCharType="end"/>
        </w:r>
      </w:sdtContent>
    </w:sdt>
  </w:p>
  <w:p w14:paraId="1CABC9AC" w14:textId="77777777" w:rsidR="007D4598" w:rsidRPr="007D4598" w:rsidRDefault="007D459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64218" w14:textId="517AA29C" w:rsidR="007D4598" w:rsidRPr="007D4598" w:rsidRDefault="007D4598">
    <w:pPr>
      <w:pStyle w:val="Header"/>
      <w:jc w:val="right"/>
      <w:rPr>
        <w:rFonts w:ascii="Times New Roman" w:hAnsi="Times New Roman" w:cs="Times New Roman"/>
        <w:sz w:val="24"/>
        <w:szCs w:val="24"/>
      </w:rPr>
    </w:pPr>
    <w:r w:rsidRPr="007D4598">
      <w:rPr>
        <w:rFonts w:ascii="Times New Roman" w:hAnsi="Times New Roman" w:cs="Times New Roman"/>
        <w:sz w:val="24"/>
        <w:szCs w:val="24"/>
      </w:rPr>
      <w:t xml:space="preserve">Running head: </w:t>
    </w:r>
    <w:r w:rsidRPr="007D4598">
      <w:rPr>
        <w:rFonts w:ascii="Times New Roman" w:hAnsi="Times New Roman" w:cs="Times New Roman"/>
        <w:sz w:val="24"/>
        <w:szCs w:val="24"/>
        <w:shd w:val="clear" w:color="auto" w:fill="FFFFFF"/>
      </w:rPr>
      <w:t>REPRODUCTIVE JUSTICE AND SOCIAL EQUITY</w:t>
    </w:r>
    <w:r w:rsidRPr="007D4598">
      <w:rPr>
        <w:rFonts w:ascii="Times New Roman" w:hAnsi="Times New Roman" w:cs="Times New Roman"/>
        <w:sz w:val="24"/>
        <w:szCs w:val="24"/>
      </w:rPr>
      <w:t xml:space="preserve"> </w:t>
    </w:r>
    <w:sdt>
      <w:sdtPr>
        <w:rPr>
          <w:rFonts w:ascii="Times New Roman" w:hAnsi="Times New Roman" w:cs="Times New Roman"/>
          <w:sz w:val="24"/>
          <w:szCs w:val="24"/>
        </w:rPr>
        <w:id w:val="-325897598"/>
        <w:docPartObj>
          <w:docPartGallery w:val="Page Numbers (Top of Page)"/>
          <w:docPartUnique/>
        </w:docPartObj>
      </w:sdtPr>
      <w:sdtEndPr>
        <w:rPr>
          <w:noProof/>
        </w:rPr>
      </w:sdtEndPr>
      <w:sdtContent>
        <w:r>
          <w:rPr>
            <w:rFonts w:ascii="Times New Roman" w:hAnsi="Times New Roman" w:cs="Times New Roman"/>
            <w:sz w:val="24"/>
            <w:szCs w:val="24"/>
          </w:rPr>
          <w:tab/>
        </w:r>
        <w:r w:rsidRPr="007D4598">
          <w:rPr>
            <w:rFonts w:ascii="Times New Roman" w:hAnsi="Times New Roman" w:cs="Times New Roman"/>
            <w:sz w:val="24"/>
            <w:szCs w:val="24"/>
          </w:rPr>
          <w:fldChar w:fldCharType="begin"/>
        </w:r>
        <w:r w:rsidRPr="007D4598">
          <w:rPr>
            <w:rFonts w:ascii="Times New Roman" w:hAnsi="Times New Roman" w:cs="Times New Roman"/>
            <w:sz w:val="24"/>
            <w:szCs w:val="24"/>
          </w:rPr>
          <w:instrText xml:space="preserve"> PAGE   \* MERGEFORMAT </w:instrText>
        </w:r>
        <w:r w:rsidRPr="007D4598">
          <w:rPr>
            <w:rFonts w:ascii="Times New Roman" w:hAnsi="Times New Roman" w:cs="Times New Roman"/>
            <w:sz w:val="24"/>
            <w:szCs w:val="24"/>
          </w:rPr>
          <w:fldChar w:fldCharType="separate"/>
        </w:r>
        <w:r w:rsidRPr="007D4598">
          <w:rPr>
            <w:rFonts w:ascii="Times New Roman" w:hAnsi="Times New Roman" w:cs="Times New Roman"/>
            <w:noProof/>
            <w:sz w:val="24"/>
            <w:szCs w:val="24"/>
          </w:rPr>
          <w:t>2</w:t>
        </w:r>
        <w:r w:rsidRPr="007D4598">
          <w:rPr>
            <w:rFonts w:ascii="Times New Roman" w:hAnsi="Times New Roman" w:cs="Times New Roman"/>
            <w:noProof/>
            <w:sz w:val="24"/>
            <w:szCs w:val="24"/>
          </w:rPr>
          <w:fldChar w:fldCharType="end"/>
        </w:r>
      </w:sdtContent>
    </w:sdt>
  </w:p>
  <w:p w14:paraId="27BE99FD" w14:textId="77777777" w:rsidR="007D4598" w:rsidRPr="007D4598" w:rsidRDefault="007D459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6B"/>
    <w:rsid w:val="000A57FE"/>
    <w:rsid w:val="000E5DF7"/>
    <w:rsid w:val="00161ACF"/>
    <w:rsid w:val="00175BE9"/>
    <w:rsid w:val="00221F67"/>
    <w:rsid w:val="00371EFF"/>
    <w:rsid w:val="0043557D"/>
    <w:rsid w:val="004F576E"/>
    <w:rsid w:val="006009DF"/>
    <w:rsid w:val="00627875"/>
    <w:rsid w:val="00646202"/>
    <w:rsid w:val="0068301E"/>
    <w:rsid w:val="007840C9"/>
    <w:rsid w:val="007D4598"/>
    <w:rsid w:val="00805384"/>
    <w:rsid w:val="00867E3B"/>
    <w:rsid w:val="008C68CC"/>
    <w:rsid w:val="009401B1"/>
    <w:rsid w:val="0099757A"/>
    <w:rsid w:val="00A64C9B"/>
    <w:rsid w:val="00AC5E6B"/>
    <w:rsid w:val="00B622B8"/>
    <w:rsid w:val="00BE188A"/>
    <w:rsid w:val="00D4613D"/>
    <w:rsid w:val="00FF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33600"/>
  <w15:chartTrackingRefBased/>
  <w15:docId w15:val="{AF3890A5-C964-4A8F-A05E-5A3903A5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13D"/>
    <w:pPr>
      <w:keepNext/>
      <w:keepLines/>
      <w:spacing w:after="0" w:line="48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3D"/>
    <w:rPr>
      <w:rFonts w:ascii="Times New Roman" w:eastAsiaTheme="majorEastAsia" w:hAnsi="Times New Roman" w:cstheme="majorBidi"/>
      <w:b/>
      <w:sz w:val="24"/>
      <w:szCs w:val="32"/>
    </w:rPr>
  </w:style>
  <w:style w:type="paragraph" w:styleId="Bibliography">
    <w:name w:val="Bibliography"/>
    <w:basedOn w:val="Normal"/>
    <w:next w:val="Normal"/>
    <w:uiPriority w:val="37"/>
    <w:unhideWhenUsed/>
    <w:rsid w:val="007840C9"/>
    <w:pPr>
      <w:spacing w:after="0" w:line="480" w:lineRule="auto"/>
      <w:ind w:left="720" w:hanging="720"/>
    </w:pPr>
  </w:style>
  <w:style w:type="table" w:styleId="TableGrid">
    <w:name w:val="Table Grid"/>
    <w:basedOn w:val="TableNormal"/>
    <w:uiPriority w:val="39"/>
    <w:rsid w:val="00784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4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598"/>
  </w:style>
  <w:style w:type="paragraph" w:styleId="Footer">
    <w:name w:val="footer"/>
    <w:basedOn w:val="Normal"/>
    <w:link w:val="FooterChar"/>
    <w:uiPriority w:val="99"/>
    <w:unhideWhenUsed/>
    <w:rsid w:val="007D4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598"/>
  </w:style>
  <w:style w:type="character" w:styleId="Hyperlink">
    <w:name w:val="Hyperlink"/>
    <w:basedOn w:val="DefaultParagraphFont"/>
    <w:uiPriority w:val="99"/>
    <w:unhideWhenUsed/>
    <w:rsid w:val="000A57FE"/>
    <w:rPr>
      <w:color w:val="0563C1" w:themeColor="hyperlink"/>
      <w:u w:val="single"/>
    </w:rPr>
  </w:style>
  <w:style w:type="character" w:styleId="UnresolvedMention">
    <w:name w:val="Unresolved Mention"/>
    <w:basedOn w:val="DefaultParagraphFont"/>
    <w:uiPriority w:val="99"/>
    <w:semiHidden/>
    <w:unhideWhenUsed/>
    <w:rsid w:val="000A57FE"/>
    <w:rPr>
      <w:color w:val="605E5C"/>
      <w:shd w:val="clear" w:color="auto" w:fill="E1DFDD"/>
    </w:rPr>
  </w:style>
  <w:style w:type="character" w:styleId="CommentReference">
    <w:name w:val="annotation reference"/>
    <w:basedOn w:val="DefaultParagraphFont"/>
    <w:uiPriority w:val="99"/>
    <w:semiHidden/>
    <w:unhideWhenUsed/>
    <w:rsid w:val="0099757A"/>
    <w:rPr>
      <w:sz w:val="16"/>
      <w:szCs w:val="16"/>
    </w:rPr>
  </w:style>
  <w:style w:type="paragraph" w:styleId="CommentText">
    <w:name w:val="annotation text"/>
    <w:basedOn w:val="Normal"/>
    <w:link w:val="CommentTextChar"/>
    <w:uiPriority w:val="99"/>
    <w:semiHidden/>
    <w:unhideWhenUsed/>
    <w:rsid w:val="0099757A"/>
    <w:pPr>
      <w:spacing w:line="240" w:lineRule="auto"/>
    </w:pPr>
    <w:rPr>
      <w:sz w:val="20"/>
      <w:szCs w:val="20"/>
    </w:rPr>
  </w:style>
  <w:style w:type="character" w:customStyle="1" w:styleId="CommentTextChar">
    <w:name w:val="Comment Text Char"/>
    <w:basedOn w:val="DefaultParagraphFont"/>
    <w:link w:val="CommentText"/>
    <w:uiPriority w:val="99"/>
    <w:semiHidden/>
    <w:rsid w:val="0099757A"/>
    <w:rPr>
      <w:sz w:val="20"/>
      <w:szCs w:val="20"/>
    </w:rPr>
  </w:style>
  <w:style w:type="paragraph" w:styleId="CommentSubject">
    <w:name w:val="annotation subject"/>
    <w:basedOn w:val="CommentText"/>
    <w:next w:val="CommentText"/>
    <w:link w:val="CommentSubjectChar"/>
    <w:uiPriority w:val="99"/>
    <w:semiHidden/>
    <w:unhideWhenUsed/>
    <w:rsid w:val="0099757A"/>
    <w:rPr>
      <w:b/>
      <w:bCs/>
    </w:rPr>
  </w:style>
  <w:style w:type="character" w:customStyle="1" w:styleId="CommentSubjectChar">
    <w:name w:val="Comment Subject Char"/>
    <w:basedOn w:val="CommentTextChar"/>
    <w:link w:val="CommentSubject"/>
    <w:uiPriority w:val="99"/>
    <w:semiHidden/>
    <w:rsid w:val="009975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625441">
      <w:bodyDiv w:val="1"/>
      <w:marLeft w:val="0"/>
      <w:marRight w:val="0"/>
      <w:marTop w:val="0"/>
      <w:marBottom w:val="0"/>
      <w:divBdr>
        <w:top w:val="none" w:sz="0" w:space="0" w:color="auto"/>
        <w:left w:val="none" w:sz="0" w:space="0" w:color="auto"/>
        <w:bottom w:val="none" w:sz="0" w:space="0" w:color="auto"/>
        <w:right w:val="none" w:sz="0" w:space="0" w:color="auto"/>
      </w:divBdr>
      <w:divsChild>
        <w:div w:id="1274901192">
          <w:marLeft w:val="0"/>
          <w:marRight w:val="0"/>
          <w:marTop w:val="0"/>
          <w:marBottom w:val="0"/>
          <w:divBdr>
            <w:top w:val="none" w:sz="0" w:space="0" w:color="auto"/>
            <w:left w:val="none" w:sz="0" w:space="0" w:color="auto"/>
            <w:bottom w:val="none" w:sz="0" w:space="0" w:color="auto"/>
            <w:right w:val="none" w:sz="0" w:space="0" w:color="auto"/>
          </w:divBdr>
        </w:div>
      </w:divsChild>
    </w:div>
    <w:div w:id="445737554">
      <w:bodyDiv w:val="1"/>
      <w:marLeft w:val="0"/>
      <w:marRight w:val="0"/>
      <w:marTop w:val="0"/>
      <w:marBottom w:val="0"/>
      <w:divBdr>
        <w:top w:val="none" w:sz="0" w:space="0" w:color="auto"/>
        <w:left w:val="none" w:sz="0" w:space="0" w:color="auto"/>
        <w:bottom w:val="none" w:sz="0" w:space="0" w:color="auto"/>
        <w:right w:val="none" w:sz="0" w:space="0" w:color="auto"/>
      </w:divBdr>
      <w:divsChild>
        <w:div w:id="1988195997">
          <w:marLeft w:val="0"/>
          <w:marRight w:val="0"/>
          <w:marTop w:val="0"/>
          <w:marBottom w:val="0"/>
          <w:divBdr>
            <w:top w:val="none" w:sz="0" w:space="0" w:color="auto"/>
            <w:left w:val="none" w:sz="0" w:space="0" w:color="auto"/>
            <w:bottom w:val="none" w:sz="0" w:space="0" w:color="auto"/>
            <w:right w:val="none" w:sz="0" w:space="0" w:color="auto"/>
          </w:divBdr>
        </w:div>
      </w:divsChild>
    </w:div>
    <w:div w:id="603532942">
      <w:bodyDiv w:val="1"/>
      <w:marLeft w:val="0"/>
      <w:marRight w:val="0"/>
      <w:marTop w:val="0"/>
      <w:marBottom w:val="0"/>
      <w:divBdr>
        <w:top w:val="none" w:sz="0" w:space="0" w:color="auto"/>
        <w:left w:val="none" w:sz="0" w:space="0" w:color="auto"/>
        <w:bottom w:val="none" w:sz="0" w:space="0" w:color="auto"/>
        <w:right w:val="none" w:sz="0" w:space="0" w:color="auto"/>
      </w:divBdr>
    </w:div>
    <w:div w:id="782841270">
      <w:bodyDiv w:val="1"/>
      <w:marLeft w:val="0"/>
      <w:marRight w:val="0"/>
      <w:marTop w:val="0"/>
      <w:marBottom w:val="0"/>
      <w:divBdr>
        <w:top w:val="none" w:sz="0" w:space="0" w:color="auto"/>
        <w:left w:val="none" w:sz="0" w:space="0" w:color="auto"/>
        <w:bottom w:val="none" w:sz="0" w:space="0" w:color="auto"/>
        <w:right w:val="none" w:sz="0" w:space="0" w:color="auto"/>
      </w:divBdr>
    </w:div>
    <w:div w:id="1027753985">
      <w:bodyDiv w:val="1"/>
      <w:marLeft w:val="0"/>
      <w:marRight w:val="0"/>
      <w:marTop w:val="0"/>
      <w:marBottom w:val="0"/>
      <w:divBdr>
        <w:top w:val="none" w:sz="0" w:space="0" w:color="auto"/>
        <w:left w:val="none" w:sz="0" w:space="0" w:color="auto"/>
        <w:bottom w:val="none" w:sz="0" w:space="0" w:color="auto"/>
        <w:right w:val="none" w:sz="0" w:space="0" w:color="auto"/>
      </w:divBdr>
    </w:div>
    <w:div w:id="181332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H0m96P1fe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ytimes.com/2026/04/02/world/americas/cuba-russia-oil-tanker.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sarchive2.gwu.edu/nukevault/ebb305/index.ht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smithsonianmag.com/history/during-cold-war-ci-secretly-plucked-soviet-submarine-ocean-floor-using-giant-claw-180972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2206</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2026-04-28T03:15:00Z</dcterms:created>
  <dcterms:modified xsi:type="dcterms:W3CDTF">2026-04-28T03:15:00Z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id="0GZIrllM"/&gt;&lt;style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y fmtid="{D5CDD505-2E9C-101B-9397-08002B2CF9AE}" pid="4" name="GrammarlyDocumentId">
    <vt:lpwstr>fd1a3646-6a4f-40f3-be96-f4dfbbfc03c5</vt:lpwstr>
  </property>
</Properties>
</file>