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43C7" w14:textId="77777777" w:rsidR="00CC4D37" w:rsidRDefault="00CC4D37" w:rsidP="00CC4D37">
      <w:pPr>
        <w:spacing w:after="0" w:line="480" w:lineRule="auto"/>
        <w:jc w:val="center"/>
        <w:rPr>
          <w:rFonts w:cs="Times New Roman"/>
          <w:b/>
          <w:szCs w:val="24"/>
        </w:rPr>
      </w:pPr>
    </w:p>
    <w:p w14:paraId="164F0250" w14:textId="77777777" w:rsidR="00CC4D37" w:rsidRDefault="00CC4D37" w:rsidP="00CC4D37">
      <w:pPr>
        <w:spacing w:after="0" w:line="480" w:lineRule="auto"/>
        <w:jc w:val="center"/>
        <w:rPr>
          <w:rFonts w:cs="Times New Roman"/>
          <w:b/>
          <w:szCs w:val="24"/>
        </w:rPr>
      </w:pPr>
    </w:p>
    <w:p w14:paraId="70186272" w14:textId="77777777" w:rsidR="00CC4D37" w:rsidRDefault="00CC4D37" w:rsidP="00CC4D37">
      <w:pPr>
        <w:spacing w:after="0" w:line="480" w:lineRule="auto"/>
        <w:jc w:val="center"/>
        <w:rPr>
          <w:rFonts w:cs="Times New Roman"/>
          <w:b/>
          <w:szCs w:val="24"/>
        </w:rPr>
      </w:pPr>
    </w:p>
    <w:p w14:paraId="72858FC5" w14:textId="77777777" w:rsidR="00CC4D37" w:rsidRDefault="00CC4D37" w:rsidP="00CC4D37">
      <w:pPr>
        <w:spacing w:after="0" w:line="480" w:lineRule="auto"/>
        <w:jc w:val="center"/>
        <w:rPr>
          <w:rFonts w:cs="Times New Roman"/>
          <w:b/>
          <w:szCs w:val="24"/>
        </w:rPr>
      </w:pPr>
    </w:p>
    <w:p w14:paraId="08E96930" w14:textId="77777777" w:rsidR="00CC4D37" w:rsidRDefault="00CC4D37" w:rsidP="00CC4D37">
      <w:pPr>
        <w:spacing w:after="0" w:line="480" w:lineRule="auto"/>
        <w:jc w:val="center"/>
        <w:rPr>
          <w:rFonts w:cs="Times New Roman"/>
          <w:b/>
          <w:szCs w:val="24"/>
        </w:rPr>
      </w:pPr>
    </w:p>
    <w:p w14:paraId="7D750A36" w14:textId="77777777" w:rsidR="00CC4D37" w:rsidRDefault="00354AEE" w:rsidP="00CC4D37">
      <w:pPr>
        <w:spacing w:after="0" w:line="480" w:lineRule="auto"/>
        <w:jc w:val="center"/>
        <w:rPr>
          <w:rFonts w:cs="Times New Roman"/>
          <w:b/>
          <w:szCs w:val="24"/>
        </w:rPr>
      </w:pPr>
      <w:r w:rsidRPr="00354AEE">
        <w:rPr>
          <w:rFonts w:cs="Times New Roman"/>
          <w:b/>
          <w:szCs w:val="24"/>
        </w:rPr>
        <w:t>Sentencing and Drug Policies</w:t>
      </w:r>
    </w:p>
    <w:p w14:paraId="0E15A72A" w14:textId="77777777" w:rsidR="00354AEE" w:rsidRPr="00730F1F" w:rsidRDefault="00354AEE" w:rsidP="00CC4D37">
      <w:pPr>
        <w:spacing w:after="0" w:line="480" w:lineRule="auto"/>
        <w:jc w:val="center"/>
        <w:rPr>
          <w:rFonts w:eastAsia="Times New Roman" w:cs="Times New Roman"/>
          <w:b/>
          <w:szCs w:val="24"/>
        </w:rPr>
      </w:pPr>
    </w:p>
    <w:p w14:paraId="6FBABF4F" w14:textId="77777777" w:rsidR="00CC4D37" w:rsidRPr="00730F1F" w:rsidRDefault="00CC4D37" w:rsidP="00CC4D37">
      <w:pPr>
        <w:spacing w:after="0" w:line="480" w:lineRule="auto"/>
        <w:jc w:val="center"/>
        <w:rPr>
          <w:rFonts w:cs="Times New Roman"/>
          <w:b/>
          <w:bCs/>
          <w:szCs w:val="24"/>
        </w:rPr>
      </w:pPr>
      <w:r w:rsidRPr="00730F1F">
        <w:rPr>
          <w:rFonts w:cs="Times New Roman"/>
          <w:color w:val="000000"/>
          <w:szCs w:val="24"/>
        </w:rPr>
        <w:t>Author Name</w:t>
      </w:r>
    </w:p>
    <w:p w14:paraId="6A4A3DB8" w14:textId="77777777" w:rsidR="00CC4D37" w:rsidRPr="00730F1F" w:rsidRDefault="00CC4D37" w:rsidP="00CC4D37">
      <w:pPr>
        <w:spacing w:after="0" w:line="480" w:lineRule="auto"/>
        <w:contextualSpacing/>
        <w:jc w:val="center"/>
        <w:rPr>
          <w:rFonts w:cs="Times New Roman"/>
          <w:color w:val="000000"/>
          <w:szCs w:val="24"/>
        </w:rPr>
      </w:pPr>
      <w:r w:rsidRPr="00730F1F">
        <w:rPr>
          <w:rFonts w:cs="Times New Roman"/>
          <w:color w:val="000000"/>
          <w:szCs w:val="24"/>
        </w:rPr>
        <w:t>Institution Name</w:t>
      </w:r>
    </w:p>
    <w:p w14:paraId="3D2EBE25" w14:textId="77777777" w:rsidR="00CC4D37" w:rsidRPr="00730F1F" w:rsidRDefault="00CC4D37" w:rsidP="00CC4D37">
      <w:pPr>
        <w:spacing w:after="0" w:line="480" w:lineRule="auto"/>
        <w:contextualSpacing/>
        <w:jc w:val="center"/>
        <w:rPr>
          <w:rFonts w:cs="Times New Roman"/>
          <w:szCs w:val="24"/>
        </w:rPr>
      </w:pPr>
      <w:r w:rsidRPr="00730F1F">
        <w:rPr>
          <w:rFonts w:cs="Times New Roman"/>
          <w:szCs w:val="24"/>
        </w:rPr>
        <w:t>Course Name</w:t>
      </w:r>
    </w:p>
    <w:p w14:paraId="45416669" w14:textId="77777777" w:rsidR="00CC4D37" w:rsidRPr="00730F1F" w:rsidRDefault="00CC4D37" w:rsidP="00CC4D37">
      <w:pPr>
        <w:spacing w:after="0" w:line="480" w:lineRule="auto"/>
        <w:contextualSpacing/>
        <w:jc w:val="center"/>
        <w:rPr>
          <w:rFonts w:cs="Times New Roman"/>
          <w:szCs w:val="24"/>
        </w:rPr>
      </w:pPr>
      <w:r w:rsidRPr="00730F1F">
        <w:rPr>
          <w:rFonts w:cs="Times New Roman"/>
          <w:szCs w:val="24"/>
        </w:rPr>
        <w:t>Instructor Name</w:t>
      </w:r>
    </w:p>
    <w:p w14:paraId="7902A33B" w14:textId="77777777" w:rsidR="00CC4D37" w:rsidRPr="00730F1F" w:rsidRDefault="00CC4D37" w:rsidP="00CC4D37">
      <w:pPr>
        <w:pStyle w:val="NormalWeb"/>
        <w:spacing w:before="0" w:beforeAutospacing="0" w:after="0" w:afterAutospacing="0" w:line="480" w:lineRule="auto"/>
        <w:jc w:val="center"/>
      </w:pPr>
      <w:r w:rsidRPr="00730F1F">
        <w:t>Date</w:t>
      </w:r>
    </w:p>
    <w:p w14:paraId="753D0D82" w14:textId="77777777" w:rsidR="00354AEE" w:rsidRDefault="00BC4AD4" w:rsidP="00CC4D37">
      <w:pPr>
        <w:spacing w:after="0" w:line="480" w:lineRule="auto"/>
        <w:ind w:firstLine="720"/>
      </w:pPr>
      <w:r>
        <w:br w:type="page"/>
      </w:r>
    </w:p>
    <w:p w14:paraId="423C36D4" w14:textId="77777777" w:rsidR="00354AEE" w:rsidRPr="00354AEE" w:rsidRDefault="00354AEE" w:rsidP="00354AEE">
      <w:pPr>
        <w:spacing w:after="0" w:line="480" w:lineRule="auto"/>
        <w:jc w:val="center"/>
        <w:rPr>
          <w:b/>
        </w:rPr>
      </w:pPr>
      <w:r w:rsidRPr="00354AEE">
        <w:rPr>
          <w:b/>
        </w:rPr>
        <w:lastRenderedPageBreak/>
        <w:t>Sentencing and Drug Policies</w:t>
      </w:r>
    </w:p>
    <w:p w14:paraId="0D1438B2" w14:textId="4BED394F" w:rsidR="00764EEC" w:rsidRPr="00764EEC" w:rsidRDefault="00764EEC" w:rsidP="00764EEC">
      <w:pPr>
        <w:spacing w:after="120" w:line="480" w:lineRule="auto"/>
        <w:ind w:firstLine="720"/>
        <w:rPr>
          <w:rFonts w:eastAsia="Times New Roman" w:cs="Times New Roman"/>
          <w:szCs w:val="24"/>
        </w:rPr>
      </w:pPr>
      <w:r w:rsidRPr="00764EEC">
        <w:rPr>
          <w:rFonts w:eastAsia="Times New Roman" w:cs="Times New Roman"/>
          <w:szCs w:val="24"/>
        </w:rPr>
        <w:t xml:space="preserve">The prison system, established on compulsory minimum sentences and three-strikes laws, is ingrained in the American </w:t>
      </w:r>
      <w:r>
        <w:t>approaches to</w:t>
      </w:r>
      <w:r w:rsidRPr="00764EEC">
        <w:rPr>
          <w:rFonts w:eastAsia="Times New Roman" w:cs="Times New Roman"/>
          <w:szCs w:val="24"/>
        </w:rPr>
        <w:t xml:space="preserve"> crime and drug policies. The debate nowadays on whether or not to go back to these puni</w:t>
      </w:r>
      <w:r w:rsidR="006866AD">
        <w:rPr>
          <w:rFonts w:eastAsia="Times New Roman" w:cs="Times New Roman"/>
          <w:szCs w:val="24"/>
        </w:rPr>
        <w:t>shments</w:t>
      </w:r>
      <w:r w:rsidRPr="00764EEC">
        <w:rPr>
          <w:rFonts w:eastAsia="Times New Roman" w:cs="Times New Roman"/>
          <w:szCs w:val="24"/>
        </w:rPr>
        <w:t xml:space="preserve"> is more </w:t>
      </w:r>
      <w:r>
        <w:rPr>
          <w:rFonts w:eastAsia="Times New Roman" w:cs="Times New Roman"/>
          <w:szCs w:val="24"/>
        </w:rPr>
        <w:t>critical in contemporary society</w:t>
      </w:r>
      <w:r w:rsidRPr="00764EEC">
        <w:rPr>
          <w:rFonts w:eastAsia="Times New Roman" w:cs="Times New Roman"/>
          <w:szCs w:val="24"/>
        </w:rPr>
        <w:t>. It has become clear over the decades that in response to the increased rates of drug use, policymakers have increasingly harsh sentencing regimes on the belief that longer prison terms will keep the offenders off the streets and keep the neighborhoods safe. In considering this argument in its entirety, it is important to take into account both sides of the argument and critically evaluate the merits of t</w:t>
      </w:r>
      <w:r w:rsidR="00182B7D">
        <w:rPr>
          <w:rFonts w:eastAsia="Times New Roman" w:cs="Times New Roman"/>
          <w:szCs w:val="24"/>
        </w:rPr>
        <w:t xml:space="preserve">he evidence behind imprisonment, </w:t>
      </w:r>
      <w:r w:rsidRPr="00764EEC">
        <w:rPr>
          <w:rFonts w:eastAsia="Times New Roman" w:cs="Times New Roman"/>
          <w:szCs w:val="24"/>
        </w:rPr>
        <w:t xml:space="preserve">deterrence and the overall safety </w:t>
      </w:r>
      <w:r w:rsidR="00182B7D">
        <w:rPr>
          <w:rFonts w:eastAsia="Times New Roman" w:cs="Times New Roman"/>
          <w:szCs w:val="24"/>
        </w:rPr>
        <w:t xml:space="preserve">of society. </w:t>
      </w:r>
    </w:p>
    <w:p w14:paraId="49767EA8" w14:textId="30E8E095" w:rsidR="00764EEC" w:rsidRPr="00764EEC" w:rsidRDefault="00764EEC" w:rsidP="00764EEC">
      <w:pPr>
        <w:spacing w:after="120" w:line="480" w:lineRule="auto"/>
        <w:ind w:firstLine="720"/>
        <w:rPr>
          <w:rFonts w:eastAsia="Times New Roman" w:cs="Times New Roman"/>
          <w:szCs w:val="24"/>
        </w:rPr>
      </w:pPr>
      <w:r>
        <w:rPr>
          <w:rFonts w:eastAsia="Times New Roman" w:cs="Times New Roman"/>
          <w:szCs w:val="24"/>
        </w:rPr>
        <w:t>Advocates of t</w:t>
      </w:r>
      <w:r w:rsidRPr="00764EEC">
        <w:rPr>
          <w:rFonts w:eastAsia="Times New Roman" w:cs="Times New Roman"/>
          <w:szCs w:val="24"/>
        </w:rPr>
        <w:t xml:space="preserve">ough on crime claim that </w:t>
      </w:r>
      <w:r>
        <w:rPr>
          <w:rFonts w:eastAsia="Times New Roman" w:cs="Times New Roman"/>
          <w:szCs w:val="24"/>
        </w:rPr>
        <w:t>strict</w:t>
      </w:r>
      <w:r w:rsidRPr="00764EEC">
        <w:rPr>
          <w:rFonts w:eastAsia="Times New Roman" w:cs="Times New Roman"/>
          <w:szCs w:val="24"/>
        </w:rPr>
        <w:t xml:space="preserve"> and inflexible sentencing keeps people safe through incapacitating dangerous people and also through consistency in sentencing. Its advocates argue that mandatory minimum sentences will ensure that repeat and serious offenders are out of the community and promote consistency in sentencing practices (Nellis, 2024). They also state that when judicial discretion is diminished through the advertisement of such predictability, this sends a bold message to the offenders of drug-related offenses. Similarly, other researchers, including Sanchagrin (2021), </w:t>
      </w:r>
      <w:r>
        <w:rPr>
          <w:rFonts w:eastAsia="Times New Roman" w:cs="Times New Roman"/>
          <w:szCs w:val="24"/>
        </w:rPr>
        <w:t>reported</w:t>
      </w:r>
      <w:r w:rsidRPr="00764EEC">
        <w:rPr>
          <w:rFonts w:eastAsia="Times New Roman" w:cs="Times New Roman"/>
          <w:szCs w:val="24"/>
        </w:rPr>
        <w:t xml:space="preserve"> that a more rigorous incarceration led to the reduction in crime during the 1990s.</w:t>
      </w:r>
    </w:p>
    <w:p w14:paraId="49196B5D" w14:textId="67397227" w:rsidR="00764EEC" w:rsidRPr="00764EEC" w:rsidRDefault="00764EEC" w:rsidP="00764EEC">
      <w:pPr>
        <w:spacing w:after="120" w:line="480" w:lineRule="auto"/>
        <w:ind w:firstLine="720"/>
        <w:rPr>
          <w:rFonts w:eastAsia="Times New Roman" w:cs="Times New Roman"/>
          <w:szCs w:val="24"/>
        </w:rPr>
      </w:pPr>
      <w:r>
        <w:rPr>
          <w:rFonts w:eastAsia="Times New Roman" w:cs="Times New Roman"/>
          <w:szCs w:val="24"/>
        </w:rPr>
        <w:t>However,</w:t>
      </w:r>
      <w:r w:rsidRPr="00764EEC">
        <w:rPr>
          <w:rFonts w:eastAsia="Times New Roman" w:cs="Times New Roman"/>
          <w:szCs w:val="24"/>
        </w:rPr>
        <w:t xml:space="preserve"> </w:t>
      </w:r>
      <w:r w:rsidR="0018520B">
        <w:rPr>
          <w:rFonts w:eastAsia="Times New Roman" w:cs="Times New Roman"/>
          <w:szCs w:val="24"/>
        </w:rPr>
        <w:t xml:space="preserve">the </w:t>
      </w:r>
      <w:r w:rsidR="0018520B" w:rsidRPr="0018520B">
        <w:rPr>
          <w:rFonts w:eastAsia="Times New Roman" w:cs="Times New Roman"/>
          <w:szCs w:val="24"/>
        </w:rPr>
        <w:t>argument against reinstating these policies is considerably more persuasive</w:t>
      </w:r>
      <w:r w:rsidR="0018520B">
        <w:rPr>
          <w:rFonts w:eastAsia="Times New Roman" w:cs="Times New Roman"/>
          <w:szCs w:val="24"/>
        </w:rPr>
        <w:t xml:space="preserve"> as s</w:t>
      </w:r>
      <w:r w:rsidRPr="00764EEC">
        <w:rPr>
          <w:rFonts w:eastAsia="Times New Roman" w:cs="Times New Roman"/>
          <w:szCs w:val="24"/>
        </w:rPr>
        <w:t xml:space="preserve">tudies have continually demonstrated that increased prison terms possess constrained deterrent consequences. According to a report by the Council on Criminal Justice, findings show that longer imprisonment, especially longer sentences, does not have a significant impact on reducing future criminal behavior (Pryzbylski et al., 2023). This is a direct challenge to the absolute rationale behind mandatory minimum sentencing as a promising crime-control measure. </w:t>
      </w:r>
      <w:r w:rsidRPr="00764EEC">
        <w:rPr>
          <w:rFonts w:eastAsia="Times New Roman" w:cs="Times New Roman"/>
          <w:szCs w:val="24"/>
        </w:rPr>
        <w:lastRenderedPageBreak/>
        <w:t>On the same note, an analysis by Pew Charitable Trusts (2018) found no significant connection between the state rate of drug incarceration and five indicators, including drug use, drug arrests, or drug overdose deaths. These results indicate that increasing incarceration levels do</w:t>
      </w:r>
      <w:r w:rsidR="006866AD">
        <w:rPr>
          <w:rFonts w:eastAsia="Times New Roman" w:cs="Times New Roman"/>
          <w:szCs w:val="24"/>
        </w:rPr>
        <w:t>es</w:t>
      </w:r>
      <w:r w:rsidRPr="00764EEC">
        <w:rPr>
          <w:rFonts w:eastAsia="Times New Roman" w:cs="Times New Roman"/>
          <w:szCs w:val="24"/>
        </w:rPr>
        <w:t xml:space="preserve"> not contribute much to decreasing drug-related harm and enhancing overall safety in society.</w:t>
      </w:r>
    </w:p>
    <w:p w14:paraId="6B39B8D7" w14:textId="190E32A1" w:rsidR="00764EEC" w:rsidRPr="00764EEC" w:rsidRDefault="00764EEC" w:rsidP="00764EEC">
      <w:pPr>
        <w:spacing w:after="120" w:line="480" w:lineRule="auto"/>
        <w:ind w:firstLine="720"/>
        <w:rPr>
          <w:rFonts w:eastAsia="Times New Roman" w:cs="Times New Roman"/>
          <w:szCs w:val="24"/>
        </w:rPr>
      </w:pPr>
      <w:r w:rsidRPr="00764EEC">
        <w:rPr>
          <w:rFonts w:eastAsia="Times New Roman" w:cs="Times New Roman"/>
          <w:szCs w:val="24"/>
        </w:rPr>
        <w:t>Additionally, these policies have huge racial implications, and this is very worrying. The sentencing laws, especially the mandatory minimums and three-strike policies, which were enacted during the War on Drugs, have played a significant role in this mass incarceration proliferation. In the modern world, about 45 percent of the federal prison population is incarcerated due to drug-related offenses (Galov, 2025; Porter, 2023). The communities of color have been overburdened and have been the most severely impacted by these punitive policies. Almost 200 thousand years after the emergence of mass incarceration, almost two million people are in prisons and jails throughout the United States (Porter, 2023). The reintroduction of such policies would only, most likely, widen these inequalities with no substantial benefits to the common good of the citizens and their trust in the justice system.</w:t>
      </w:r>
    </w:p>
    <w:p w14:paraId="41482EC3" w14:textId="3D93475A" w:rsidR="00764EEC" w:rsidRPr="00764EEC" w:rsidRDefault="00764EEC" w:rsidP="00764EEC">
      <w:pPr>
        <w:spacing w:after="120" w:line="480" w:lineRule="auto"/>
        <w:ind w:firstLine="720"/>
        <w:rPr>
          <w:rFonts w:eastAsia="Times New Roman" w:cs="Times New Roman"/>
          <w:szCs w:val="24"/>
        </w:rPr>
      </w:pPr>
      <w:r w:rsidRPr="00764EEC">
        <w:rPr>
          <w:rFonts w:eastAsia="Times New Roman" w:cs="Times New Roman"/>
          <w:szCs w:val="24"/>
        </w:rPr>
        <w:t>Conversely, there is growing evidence in favor of rehabilitative interventions, especially prison-based interventions or treatment programmes. Evidence-based studies, funded by the National Institute of Justice (2023), show that trauma-informed cognitive-behavioral therapy and programs offering substance-use treatment can greatly reduce drug</w:t>
      </w:r>
      <w:r w:rsidR="006866AD">
        <w:rPr>
          <w:rFonts w:eastAsia="Times New Roman" w:cs="Times New Roman"/>
          <w:szCs w:val="24"/>
        </w:rPr>
        <w:t xml:space="preserve"> </w:t>
      </w:r>
      <w:r w:rsidRPr="00764EEC">
        <w:rPr>
          <w:rFonts w:eastAsia="Times New Roman" w:cs="Times New Roman"/>
          <w:szCs w:val="24"/>
        </w:rPr>
        <w:t xml:space="preserve">dependency and enhance the post-release outcomes. Those who take part in structured treatment programs are at a lower risk of reoffending and are more likely to successfully reenter society (Pearce, 2025). There is evidence at the state level that supports this conclusion. As an example, New York has dropped its prison population by more than 51 percent between 1999 and 2023 and experienced a reduction in its violent crimes, which was greater than the national rate of 34 percent (Pearce, </w:t>
      </w:r>
      <w:r w:rsidRPr="00764EEC">
        <w:rPr>
          <w:rFonts w:eastAsia="Times New Roman" w:cs="Times New Roman"/>
          <w:szCs w:val="24"/>
        </w:rPr>
        <w:lastRenderedPageBreak/>
        <w:t>2025). These results show that the possibility of reducing the influence of incarceration does not negatively affect the public security level, but, on the contrary, may enhance the existing level.</w:t>
      </w:r>
    </w:p>
    <w:p w14:paraId="3C3DF392" w14:textId="2522FCC8" w:rsidR="00764EEC" w:rsidRPr="00764EEC" w:rsidRDefault="00764EEC" w:rsidP="00764EEC">
      <w:pPr>
        <w:spacing w:after="120" w:line="480" w:lineRule="auto"/>
        <w:ind w:firstLine="720"/>
        <w:rPr>
          <w:rFonts w:eastAsia="Times New Roman" w:cs="Times New Roman"/>
          <w:szCs w:val="24"/>
        </w:rPr>
      </w:pPr>
      <w:r w:rsidRPr="00764EEC">
        <w:rPr>
          <w:rFonts w:eastAsia="Times New Roman" w:cs="Times New Roman"/>
          <w:szCs w:val="24"/>
        </w:rPr>
        <w:t xml:space="preserve">Ultimately, reviving mandatory minimum and three-strikes laws would mean repeating a costly and ineffective policy experiment. The financial, social and human costs of such actions, especially considering racial disparities, greatly outweigh any small advantages such measures may have. Evidence-based </w:t>
      </w:r>
      <w:r w:rsidR="00182B7D">
        <w:rPr>
          <w:rFonts w:eastAsia="Times New Roman" w:cs="Times New Roman"/>
          <w:szCs w:val="24"/>
        </w:rPr>
        <w:t xml:space="preserve">reform is a more valid way out as </w:t>
      </w:r>
      <w:r w:rsidRPr="00764EEC">
        <w:rPr>
          <w:rFonts w:eastAsia="Times New Roman" w:cs="Times New Roman"/>
          <w:szCs w:val="24"/>
        </w:rPr>
        <w:t>the emphasis should not be on some symptoms of the crime abuser but rather the underlying causes. Justice, efficiency, and public safety are not exclusive to each other, and with the proper policies, it is possible to achieve them all at once.</w:t>
      </w:r>
    </w:p>
    <w:p w14:paraId="3B377173" w14:textId="66D54927" w:rsidR="00764EEC" w:rsidRDefault="00764EEC" w:rsidP="00764EEC">
      <w:pPr>
        <w:spacing w:after="120" w:line="480" w:lineRule="auto"/>
        <w:ind w:firstLine="720"/>
        <w:rPr>
          <w:rFonts w:eastAsia="Times New Roman" w:cs="Times New Roman"/>
          <w:szCs w:val="24"/>
        </w:rPr>
      </w:pPr>
    </w:p>
    <w:p w14:paraId="1F644313" w14:textId="73346DCA" w:rsidR="00764EEC" w:rsidRDefault="00764EEC" w:rsidP="00764EEC">
      <w:pPr>
        <w:spacing w:after="120" w:line="480" w:lineRule="auto"/>
        <w:ind w:firstLine="720"/>
        <w:rPr>
          <w:rFonts w:eastAsia="Times New Roman" w:cs="Times New Roman"/>
          <w:szCs w:val="24"/>
        </w:rPr>
      </w:pPr>
    </w:p>
    <w:p w14:paraId="3D64E04F" w14:textId="4FAA5A74" w:rsidR="00764EEC" w:rsidRDefault="00764EEC" w:rsidP="00764EEC">
      <w:pPr>
        <w:spacing w:after="120" w:line="480" w:lineRule="auto"/>
        <w:ind w:firstLine="720"/>
        <w:rPr>
          <w:rFonts w:eastAsia="Times New Roman" w:cs="Times New Roman"/>
          <w:szCs w:val="24"/>
        </w:rPr>
      </w:pPr>
    </w:p>
    <w:p w14:paraId="555D0701" w14:textId="02744F06" w:rsidR="00764EEC" w:rsidRDefault="00764EEC" w:rsidP="00764EEC">
      <w:pPr>
        <w:spacing w:after="120" w:line="240" w:lineRule="auto"/>
        <w:rPr>
          <w:rFonts w:eastAsia="Times New Roman" w:cs="Times New Roman"/>
          <w:szCs w:val="24"/>
        </w:rPr>
      </w:pPr>
    </w:p>
    <w:p w14:paraId="4308398D" w14:textId="1D2DD5A5" w:rsidR="00764EEC" w:rsidRDefault="00764EEC" w:rsidP="00764EEC">
      <w:pPr>
        <w:spacing w:after="120" w:line="240" w:lineRule="auto"/>
        <w:rPr>
          <w:rFonts w:eastAsia="Times New Roman" w:cs="Times New Roman"/>
          <w:szCs w:val="24"/>
        </w:rPr>
      </w:pPr>
    </w:p>
    <w:p w14:paraId="0269E3B3" w14:textId="5483D7ED" w:rsidR="00764EEC" w:rsidRDefault="00764EEC" w:rsidP="00764EEC">
      <w:pPr>
        <w:spacing w:after="120" w:line="240" w:lineRule="auto"/>
        <w:rPr>
          <w:rFonts w:eastAsia="Times New Roman" w:cs="Times New Roman"/>
          <w:szCs w:val="24"/>
        </w:rPr>
      </w:pPr>
    </w:p>
    <w:p w14:paraId="60FF7ACF" w14:textId="7BCBB3DA" w:rsidR="00764EEC" w:rsidRDefault="00764EEC" w:rsidP="00764EEC">
      <w:pPr>
        <w:spacing w:after="120" w:line="240" w:lineRule="auto"/>
        <w:rPr>
          <w:rFonts w:eastAsia="Times New Roman" w:cs="Times New Roman"/>
          <w:szCs w:val="24"/>
        </w:rPr>
      </w:pPr>
    </w:p>
    <w:p w14:paraId="50BF9B8B" w14:textId="5899DDA7" w:rsidR="00764EEC" w:rsidRDefault="00764EEC" w:rsidP="00764EEC">
      <w:pPr>
        <w:spacing w:after="120" w:line="240" w:lineRule="auto"/>
        <w:rPr>
          <w:rFonts w:eastAsia="Times New Roman" w:cs="Times New Roman"/>
          <w:szCs w:val="24"/>
        </w:rPr>
      </w:pPr>
    </w:p>
    <w:p w14:paraId="21D934AC" w14:textId="09C6AB4A" w:rsidR="00764EEC" w:rsidRDefault="00764EEC" w:rsidP="00764EEC">
      <w:pPr>
        <w:spacing w:after="120" w:line="240" w:lineRule="auto"/>
        <w:rPr>
          <w:rFonts w:eastAsia="Times New Roman" w:cs="Times New Roman"/>
          <w:szCs w:val="24"/>
        </w:rPr>
      </w:pPr>
    </w:p>
    <w:p w14:paraId="25A5F6D9" w14:textId="5E0A043A" w:rsidR="00764EEC" w:rsidRDefault="00764EEC" w:rsidP="00764EEC">
      <w:pPr>
        <w:spacing w:after="120" w:line="240" w:lineRule="auto"/>
        <w:rPr>
          <w:rFonts w:eastAsia="Times New Roman" w:cs="Times New Roman"/>
          <w:szCs w:val="24"/>
        </w:rPr>
      </w:pPr>
    </w:p>
    <w:p w14:paraId="4150FE3C" w14:textId="3050B48E" w:rsidR="00764EEC" w:rsidRDefault="00764EEC" w:rsidP="00764EEC">
      <w:pPr>
        <w:spacing w:after="120" w:line="240" w:lineRule="auto"/>
        <w:rPr>
          <w:rFonts w:eastAsia="Times New Roman" w:cs="Times New Roman"/>
          <w:szCs w:val="24"/>
        </w:rPr>
      </w:pPr>
    </w:p>
    <w:p w14:paraId="232B7BB0" w14:textId="1DB337E3" w:rsidR="00764EEC" w:rsidRDefault="00764EEC" w:rsidP="00764EEC">
      <w:pPr>
        <w:spacing w:after="120" w:line="240" w:lineRule="auto"/>
        <w:rPr>
          <w:rFonts w:eastAsia="Times New Roman" w:cs="Times New Roman"/>
          <w:szCs w:val="24"/>
        </w:rPr>
      </w:pPr>
    </w:p>
    <w:p w14:paraId="7F73C6B8" w14:textId="53BD39D3" w:rsidR="00764EEC" w:rsidRDefault="00764EEC" w:rsidP="00764EEC">
      <w:pPr>
        <w:spacing w:after="120" w:line="240" w:lineRule="auto"/>
        <w:rPr>
          <w:rFonts w:eastAsia="Times New Roman" w:cs="Times New Roman"/>
          <w:szCs w:val="24"/>
        </w:rPr>
      </w:pPr>
    </w:p>
    <w:p w14:paraId="1D60294C" w14:textId="525480AF" w:rsidR="00764EEC" w:rsidRDefault="00764EEC" w:rsidP="00764EEC">
      <w:pPr>
        <w:spacing w:after="120" w:line="240" w:lineRule="auto"/>
        <w:rPr>
          <w:rFonts w:eastAsia="Times New Roman" w:cs="Times New Roman"/>
          <w:szCs w:val="24"/>
        </w:rPr>
      </w:pPr>
    </w:p>
    <w:p w14:paraId="0ED9A3AD" w14:textId="05936F4A" w:rsidR="00764EEC" w:rsidRDefault="00764EEC" w:rsidP="00764EEC">
      <w:pPr>
        <w:spacing w:after="120" w:line="240" w:lineRule="auto"/>
        <w:rPr>
          <w:rFonts w:eastAsia="Times New Roman" w:cs="Times New Roman"/>
          <w:szCs w:val="24"/>
        </w:rPr>
      </w:pPr>
    </w:p>
    <w:p w14:paraId="04211E1D" w14:textId="0CE31EB9" w:rsidR="00764EEC" w:rsidRDefault="00764EEC" w:rsidP="00764EEC">
      <w:pPr>
        <w:spacing w:after="120" w:line="240" w:lineRule="auto"/>
        <w:rPr>
          <w:rFonts w:eastAsia="Times New Roman" w:cs="Times New Roman"/>
          <w:szCs w:val="24"/>
        </w:rPr>
      </w:pPr>
    </w:p>
    <w:p w14:paraId="001E668B" w14:textId="5A7D18DE" w:rsidR="00764EEC" w:rsidRDefault="00764EEC" w:rsidP="00764EEC">
      <w:pPr>
        <w:spacing w:after="120" w:line="240" w:lineRule="auto"/>
        <w:rPr>
          <w:rFonts w:eastAsia="Times New Roman" w:cs="Times New Roman"/>
          <w:szCs w:val="24"/>
        </w:rPr>
      </w:pPr>
    </w:p>
    <w:p w14:paraId="0C2FF536" w14:textId="77777777" w:rsidR="00764EEC" w:rsidRPr="00CC4D37" w:rsidRDefault="00764EEC" w:rsidP="00764EEC">
      <w:pPr>
        <w:spacing w:after="120" w:line="240" w:lineRule="auto"/>
        <w:rPr>
          <w:rFonts w:eastAsia="Times New Roman" w:cs="Times New Roman"/>
          <w:szCs w:val="24"/>
        </w:rPr>
      </w:pPr>
    </w:p>
    <w:p w14:paraId="69B5B365" w14:textId="77777777" w:rsidR="00CC4D37" w:rsidRPr="00DA23CB" w:rsidRDefault="00CC4D37" w:rsidP="00CC4D37">
      <w:pPr>
        <w:spacing w:after="0" w:line="480" w:lineRule="auto"/>
        <w:jc w:val="center"/>
        <w:rPr>
          <w:rFonts w:eastAsia="Times New Roman" w:cs="Times New Roman"/>
          <w:b/>
          <w:szCs w:val="24"/>
        </w:rPr>
      </w:pPr>
      <w:r w:rsidRPr="00CC4D37">
        <w:rPr>
          <w:rFonts w:eastAsia="Times New Roman" w:cs="Times New Roman"/>
          <w:b/>
          <w:szCs w:val="24"/>
        </w:rPr>
        <w:t>References</w:t>
      </w:r>
    </w:p>
    <w:p w14:paraId="0D464B5A" w14:textId="0F433382" w:rsidR="008D3252" w:rsidRPr="0073780B" w:rsidRDefault="008D3252" w:rsidP="0073780B">
      <w:pPr>
        <w:pStyle w:val="Bibliography"/>
      </w:pPr>
      <w:r w:rsidRPr="0073780B">
        <w:t xml:space="preserve">Galov, N. (2025). </w:t>
      </w:r>
      <w:r w:rsidRPr="0073780B">
        <w:rPr>
          <w:i/>
          <w:iCs/>
        </w:rPr>
        <w:t>17 Petrifying Prison Statistics for 2023—Webtribunal</w:t>
      </w:r>
      <w:r w:rsidRPr="0073780B">
        <w:t xml:space="preserve">. </w:t>
      </w:r>
      <w:hyperlink r:id="rId6" w:history="1">
        <w:r w:rsidRPr="004A6B4F">
          <w:rPr>
            <w:rStyle w:val="Hyperlink"/>
          </w:rPr>
          <w:t>https://webtribunal.net/blog/prison-statistics/</w:t>
        </w:r>
      </w:hyperlink>
      <w:r>
        <w:t xml:space="preserve"> </w:t>
      </w:r>
    </w:p>
    <w:p w14:paraId="5CC561AF" w14:textId="1F31A70A" w:rsidR="008D3252" w:rsidRPr="0073780B" w:rsidRDefault="008D3252" w:rsidP="0073780B">
      <w:pPr>
        <w:pStyle w:val="Bibliography"/>
      </w:pPr>
      <w:r w:rsidRPr="00A250C3">
        <w:t xml:space="preserve">National Institute of Justice. </w:t>
      </w:r>
      <w:r w:rsidRPr="0073780B">
        <w:t xml:space="preserve">(2023). </w:t>
      </w:r>
      <w:r w:rsidRPr="0073780B">
        <w:rPr>
          <w:i/>
          <w:iCs/>
        </w:rPr>
        <w:t>Looking Beyond Recidivism: New Research on Well-Being in Prisons and Jails From the</w:t>
      </w:r>
      <w:r w:rsidRPr="00A250C3">
        <w:rPr>
          <w:i/>
        </w:rPr>
        <w:t xml:space="preserve"> National Institute of Justice</w:t>
      </w:r>
      <w:r w:rsidRPr="0073780B">
        <w:rPr>
          <w:i/>
          <w:iCs/>
        </w:rPr>
        <w:t xml:space="preserve"> | National Institute of Justice</w:t>
      </w:r>
      <w:r w:rsidRPr="0073780B">
        <w:t xml:space="preserve">. </w:t>
      </w:r>
      <w:hyperlink r:id="rId7" w:history="1">
        <w:r w:rsidRPr="004A6B4F">
          <w:rPr>
            <w:rStyle w:val="Hyperlink"/>
          </w:rPr>
          <w:t>https://nij.ojp.gov/topics/articles/looking-beyond-recidivism-new-research-well-being-prisons-and-jails-national</w:t>
        </w:r>
      </w:hyperlink>
      <w:r>
        <w:t xml:space="preserve"> </w:t>
      </w:r>
    </w:p>
    <w:p w14:paraId="1B4153F0" w14:textId="4EE1F32A" w:rsidR="008D3252" w:rsidRPr="0073780B" w:rsidRDefault="008D3252" w:rsidP="0073780B">
      <w:pPr>
        <w:pStyle w:val="Bibliography"/>
      </w:pPr>
      <w:r w:rsidRPr="0073780B">
        <w:t xml:space="preserve">Nellis, A. (2024, February 14). How Mandatory Minimums Perpetuate Mass Incarceration and What to Do About It. </w:t>
      </w:r>
      <w:r w:rsidRPr="0073780B">
        <w:rPr>
          <w:i/>
          <w:iCs/>
        </w:rPr>
        <w:t>The Sentencing Project</w:t>
      </w:r>
      <w:r w:rsidRPr="0073780B">
        <w:t>. https://www.sentencingproject.org/fact-sheet/how-mandatory-minimums-perpetuate-mass-incarceration-and-what-to-do</w:t>
      </w:r>
      <w:r w:rsidRPr="00A250C3">
        <w:t>-about-</w:t>
      </w:r>
      <w:r w:rsidRPr="0073780B">
        <w:t>it/</w:t>
      </w:r>
    </w:p>
    <w:p w14:paraId="343DDE1A" w14:textId="4D3A6581" w:rsidR="008D3252" w:rsidRPr="00CC4D37" w:rsidRDefault="008D3252" w:rsidP="00CC4D37">
      <w:pPr>
        <w:pStyle w:val="Bibliography"/>
      </w:pPr>
      <w:r w:rsidRPr="00CC4D37">
        <w:t xml:space="preserve">Pearce, N. G., Ph D. and Sabrina. (2025, November 12). America’s Incarceration Crossroads: Reversing Progress Amid Record-Low Crime Rates. </w:t>
      </w:r>
      <w:r w:rsidRPr="00CC4D37">
        <w:rPr>
          <w:i/>
          <w:iCs/>
        </w:rPr>
        <w:t>The Sentencing Project</w:t>
      </w:r>
      <w:r w:rsidRPr="00CC4D37">
        <w:t xml:space="preserve">. </w:t>
      </w:r>
      <w:hyperlink r:id="rId8" w:history="1">
        <w:r w:rsidRPr="004A6B4F">
          <w:rPr>
            <w:rStyle w:val="Hyperlink"/>
          </w:rPr>
          <w:t>https://www.sentencingproject.org/policy-brief/americas-incarceration-crossroads-reversing-progress-amid-record-low-crime-rates/</w:t>
        </w:r>
      </w:hyperlink>
      <w:r>
        <w:t xml:space="preserve"> </w:t>
      </w:r>
    </w:p>
    <w:p w14:paraId="447E62F6" w14:textId="5454D822" w:rsidR="008D3252" w:rsidRPr="00CC4D37" w:rsidRDefault="008D3252" w:rsidP="00CC4D37">
      <w:pPr>
        <w:pStyle w:val="Bibliography"/>
      </w:pPr>
      <w:r w:rsidRPr="00A250C3">
        <w:t xml:space="preserve">Pew Charitable Trusts. (2018). </w:t>
      </w:r>
      <w:r w:rsidRPr="00A250C3">
        <w:rPr>
          <w:i/>
        </w:rPr>
        <w:t>More Imprisonment Does Not Reduce State Drug Problems</w:t>
      </w:r>
      <w:r w:rsidRPr="00A250C3">
        <w:t xml:space="preserve">. </w:t>
      </w:r>
      <w:hyperlink r:id="rId9" w:history="1">
        <w:r w:rsidRPr="004A6B4F">
          <w:rPr>
            <w:rStyle w:val="Hyperlink"/>
          </w:rPr>
          <w:t>http://pew.org/2tszeZl</w:t>
        </w:r>
      </w:hyperlink>
      <w:r>
        <w:t xml:space="preserve"> </w:t>
      </w:r>
    </w:p>
    <w:p w14:paraId="3FA75733" w14:textId="55F47B20" w:rsidR="008D3252" w:rsidRDefault="008D3252" w:rsidP="00CC4D37">
      <w:pPr>
        <w:pStyle w:val="Bibliography"/>
      </w:pPr>
      <w:r w:rsidRPr="00CC4D37">
        <w:t xml:space="preserve">Porter, N. D. (2023, December 20). Top Trends in Criminal Legal Reform, 2023. </w:t>
      </w:r>
      <w:r w:rsidRPr="00CC4D37">
        <w:rPr>
          <w:i/>
          <w:iCs/>
        </w:rPr>
        <w:t>The Sentencing Project</w:t>
      </w:r>
      <w:r w:rsidRPr="00CC4D37">
        <w:t xml:space="preserve">. </w:t>
      </w:r>
      <w:hyperlink r:id="rId10" w:history="1">
        <w:r w:rsidRPr="004A6B4F">
          <w:rPr>
            <w:rStyle w:val="Hyperlink"/>
          </w:rPr>
          <w:t>https://www.sentencingproject.org/reports/top-trends-in-criminal-legal-reform-2023/</w:t>
        </w:r>
      </w:hyperlink>
    </w:p>
    <w:p w14:paraId="11C92595" w14:textId="47DD0D4F" w:rsidR="008D3252" w:rsidRPr="0073780B" w:rsidRDefault="008D3252" w:rsidP="0073780B">
      <w:pPr>
        <w:pStyle w:val="Bibliography"/>
      </w:pPr>
      <w:r w:rsidRPr="0073780B">
        <w:t xml:space="preserve">Porter, N. D. (2023, December 20). Top Trends in Criminal Legal Reform, 2023. </w:t>
      </w:r>
      <w:r w:rsidRPr="0073780B">
        <w:rPr>
          <w:i/>
          <w:iCs/>
        </w:rPr>
        <w:t>The Sentencing Project</w:t>
      </w:r>
      <w:r w:rsidRPr="0073780B">
        <w:t xml:space="preserve">. </w:t>
      </w:r>
      <w:hyperlink r:id="rId11" w:history="1">
        <w:r w:rsidRPr="004A6B4F">
          <w:rPr>
            <w:rStyle w:val="Hyperlink"/>
          </w:rPr>
          <w:t>https://www.sentencingproject.org/reports/top-trends-in-criminal-legal-reform-2023/</w:t>
        </w:r>
      </w:hyperlink>
      <w:r>
        <w:t xml:space="preserve"> </w:t>
      </w:r>
    </w:p>
    <w:p w14:paraId="09ECF91B" w14:textId="46F42B3F" w:rsidR="008D3252" w:rsidRPr="008D3252" w:rsidRDefault="008D3252" w:rsidP="008D3252">
      <w:pPr>
        <w:pStyle w:val="Bibliography"/>
      </w:pPr>
      <w:r w:rsidRPr="008D3252">
        <w:lastRenderedPageBreak/>
        <w:t xml:space="preserve">Pryzbylski, R., Maki, J., Kennedy, S., Rosenthal, A., &amp; Lopez, E. (2023). </w:t>
      </w:r>
      <w:r w:rsidRPr="008D3252">
        <w:rPr>
          <w:i/>
          <w:iCs/>
        </w:rPr>
        <w:t>The Impact of Long Sentences on Public Safety</w:t>
      </w:r>
      <w:r w:rsidRPr="008D3252">
        <w:t xml:space="preserve"> (pp. 81–87). University of California Press Books Division. </w:t>
      </w:r>
      <w:hyperlink r:id="rId12" w:history="1">
        <w:r w:rsidRPr="004A6B4F">
          <w:rPr>
            <w:rStyle w:val="Hyperlink"/>
          </w:rPr>
          <w:t>https://search.proquest.com/openview/8ca457ad3b48470ad81aff3cbf44d754/1?pq-origsite=gscholar&amp;cbl=30224</w:t>
        </w:r>
      </w:hyperlink>
      <w:r>
        <w:t xml:space="preserve"> </w:t>
      </w:r>
    </w:p>
    <w:p w14:paraId="444CC266" w14:textId="202BDB6B" w:rsidR="008D3252" w:rsidRPr="008D3252" w:rsidRDefault="008D3252" w:rsidP="008D3252">
      <w:pPr>
        <w:pStyle w:val="Bibliography"/>
      </w:pPr>
      <w:r w:rsidRPr="0073780B">
        <w:t xml:space="preserve">Sanchagrin, K. (2021). </w:t>
      </w:r>
      <w:r w:rsidRPr="0073780B">
        <w:rPr>
          <w:i/>
          <w:iCs/>
        </w:rPr>
        <w:t>Research Review: Impacts of Measure 11 and Other Factors on Crime</w:t>
      </w:r>
      <w:r w:rsidRPr="0073780B">
        <w:t xml:space="preserve">. </w:t>
      </w:r>
      <w:hyperlink r:id="rId13" w:history="1">
        <w:r w:rsidRPr="004A6B4F">
          <w:rPr>
            <w:rStyle w:val="Hyperlink"/>
          </w:rPr>
          <w:t>https://www.oregon.gov/cjc/CJC%20Document%20Library/M11Crime_Lit_Review.pdf</w:t>
        </w:r>
      </w:hyperlink>
    </w:p>
    <w:p w14:paraId="5719DEA7" w14:textId="5C5F426B" w:rsidR="008D3252" w:rsidRPr="008D3252" w:rsidRDefault="008D3252" w:rsidP="008D3252"/>
    <w:p w14:paraId="547DFCEE" w14:textId="4CA728A6" w:rsidR="00C13503" w:rsidRPr="00C13503" w:rsidRDefault="00C13503" w:rsidP="00C13503"/>
    <w:p w14:paraId="0469E04A" w14:textId="77777777" w:rsidR="00B50E44" w:rsidRDefault="00B50E44" w:rsidP="00DA23CB">
      <w:pPr>
        <w:pStyle w:val="NormalWeb"/>
      </w:pPr>
    </w:p>
    <w:sectPr w:rsidR="00B50E4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A127" w14:textId="77777777" w:rsidR="00A854F8" w:rsidRDefault="00A854F8" w:rsidP="00CC4D37">
      <w:pPr>
        <w:spacing w:after="0" w:line="240" w:lineRule="auto"/>
      </w:pPr>
      <w:r>
        <w:separator/>
      </w:r>
    </w:p>
  </w:endnote>
  <w:endnote w:type="continuationSeparator" w:id="0">
    <w:p w14:paraId="6BFFEBCB" w14:textId="77777777" w:rsidR="00A854F8" w:rsidRDefault="00A854F8" w:rsidP="00CC4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9F59" w14:textId="77777777" w:rsidR="00A250C3" w:rsidRDefault="00A25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45D3" w14:textId="77777777" w:rsidR="00A854F8" w:rsidRDefault="00A854F8" w:rsidP="00CC4D37">
      <w:pPr>
        <w:spacing w:after="0" w:line="240" w:lineRule="auto"/>
      </w:pPr>
      <w:r>
        <w:separator/>
      </w:r>
    </w:p>
  </w:footnote>
  <w:footnote w:type="continuationSeparator" w:id="0">
    <w:p w14:paraId="294A6E4F" w14:textId="77777777" w:rsidR="00A854F8" w:rsidRDefault="00A854F8" w:rsidP="00CC4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614155"/>
      <w:docPartObj>
        <w:docPartGallery w:val="Page Numbers (Top of Page)"/>
        <w:docPartUnique/>
      </w:docPartObj>
    </w:sdtPr>
    <w:sdtEndPr>
      <w:rPr>
        <w:noProof/>
      </w:rPr>
    </w:sdtEndPr>
    <w:sdtContent>
      <w:p w14:paraId="4927021F" w14:textId="5DC5E61A" w:rsidR="00CC4D37" w:rsidRDefault="00CC4D37">
        <w:pPr>
          <w:pStyle w:val="Header"/>
          <w:jc w:val="right"/>
        </w:pPr>
        <w:r>
          <w:fldChar w:fldCharType="begin"/>
        </w:r>
        <w:r>
          <w:instrText xml:space="preserve"> PAGE   \* MERGEFORMAT </w:instrText>
        </w:r>
        <w:r>
          <w:fldChar w:fldCharType="separate"/>
        </w:r>
        <w:r w:rsidR="00960F0A">
          <w:rPr>
            <w:noProof/>
          </w:rPr>
          <w:t>2</w:t>
        </w:r>
        <w:r>
          <w:rPr>
            <w:noProof/>
          </w:rPr>
          <w:fldChar w:fldCharType="end"/>
        </w:r>
      </w:p>
    </w:sdtContent>
  </w:sdt>
  <w:p w14:paraId="788945B0" w14:textId="77777777" w:rsidR="00CC4D37" w:rsidRDefault="00CC4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yMTGxNDGwMLA0NjFR0lEKTi0uzszPAykwrgUApMC2JCwAAAA="/>
  </w:docVars>
  <w:rsids>
    <w:rsidRoot w:val="00E20B30"/>
    <w:rsid w:val="000336D5"/>
    <w:rsid w:val="000D2E85"/>
    <w:rsid w:val="000D4A35"/>
    <w:rsid w:val="00182B7D"/>
    <w:rsid w:val="0018520B"/>
    <w:rsid w:val="001D2C3F"/>
    <w:rsid w:val="00264D31"/>
    <w:rsid w:val="00267482"/>
    <w:rsid w:val="00271008"/>
    <w:rsid w:val="002A064F"/>
    <w:rsid w:val="002F172E"/>
    <w:rsid w:val="002F299D"/>
    <w:rsid w:val="002F377D"/>
    <w:rsid w:val="003245DD"/>
    <w:rsid w:val="00354AEE"/>
    <w:rsid w:val="00362691"/>
    <w:rsid w:val="003C06B2"/>
    <w:rsid w:val="003D723C"/>
    <w:rsid w:val="00463973"/>
    <w:rsid w:val="004B4DB5"/>
    <w:rsid w:val="00514046"/>
    <w:rsid w:val="0055284E"/>
    <w:rsid w:val="005629E7"/>
    <w:rsid w:val="005B2382"/>
    <w:rsid w:val="005C340C"/>
    <w:rsid w:val="00620D3A"/>
    <w:rsid w:val="00665BB9"/>
    <w:rsid w:val="00680E39"/>
    <w:rsid w:val="00683231"/>
    <w:rsid w:val="00683511"/>
    <w:rsid w:val="006866AD"/>
    <w:rsid w:val="006D01CE"/>
    <w:rsid w:val="00723C92"/>
    <w:rsid w:val="0073780B"/>
    <w:rsid w:val="00737DE0"/>
    <w:rsid w:val="0074430A"/>
    <w:rsid w:val="00764EEC"/>
    <w:rsid w:val="007A1A52"/>
    <w:rsid w:val="00830138"/>
    <w:rsid w:val="008751DD"/>
    <w:rsid w:val="008D0EB0"/>
    <w:rsid w:val="008D3252"/>
    <w:rsid w:val="00960F0A"/>
    <w:rsid w:val="009730F1"/>
    <w:rsid w:val="009A1273"/>
    <w:rsid w:val="009D6864"/>
    <w:rsid w:val="00A250C3"/>
    <w:rsid w:val="00A4628F"/>
    <w:rsid w:val="00A55D89"/>
    <w:rsid w:val="00A80C7A"/>
    <w:rsid w:val="00A83551"/>
    <w:rsid w:val="00A854F8"/>
    <w:rsid w:val="00A90CB3"/>
    <w:rsid w:val="00AA1821"/>
    <w:rsid w:val="00AC2D95"/>
    <w:rsid w:val="00B263A4"/>
    <w:rsid w:val="00B46690"/>
    <w:rsid w:val="00B50CD3"/>
    <w:rsid w:val="00B50E44"/>
    <w:rsid w:val="00BB34A8"/>
    <w:rsid w:val="00BC4AD4"/>
    <w:rsid w:val="00C0781E"/>
    <w:rsid w:val="00C1219B"/>
    <w:rsid w:val="00C13503"/>
    <w:rsid w:val="00CB2590"/>
    <w:rsid w:val="00CC4D37"/>
    <w:rsid w:val="00D46ACA"/>
    <w:rsid w:val="00D6275C"/>
    <w:rsid w:val="00D63102"/>
    <w:rsid w:val="00DA23CB"/>
    <w:rsid w:val="00DB1464"/>
    <w:rsid w:val="00E05649"/>
    <w:rsid w:val="00E20B30"/>
    <w:rsid w:val="00E73330"/>
    <w:rsid w:val="00E94927"/>
    <w:rsid w:val="00EB407C"/>
    <w:rsid w:val="00ED07CD"/>
    <w:rsid w:val="00EE5753"/>
    <w:rsid w:val="00F06971"/>
    <w:rsid w:val="00F32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8CB3"/>
  <w15:chartTrackingRefBased/>
  <w15:docId w15:val="{61F7CE60-27B1-4641-935C-A22A5A01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23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E20B30"/>
    <w:pPr>
      <w:spacing w:before="100" w:beforeAutospacing="1" w:after="100" w:afterAutospacing="1" w:line="240" w:lineRule="auto"/>
    </w:pPr>
    <w:rPr>
      <w:rFonts w:eastAsia="Times New Roman" w:cs="Times New Roman"/>
      <w:szCs w:val="24"/>
    </w:rPr>
  </w:style>
  <w:style w:type="character" w:customStyle="1" w:styleId="inline-flex">
    <w:name w:val="inline-flex"/>
    <w:basedOn w:val="DefaultParagraphFont"/>
    <w:rsid w:val="00E20B30"/>
  </w:style>
  <w:style w:type="character" w:styleId="Hyperlink">
    <w:name w:val="Hyperlink"/>
    <w:basedOn w:val="DefaultParagraphFont"/>
    <w:uiPriority w:val="99"/>
    <w:unhideWhenUsed/>
    <w:rsid w:val="00A250C3"/>
    <w:rPr>
      <w:color w:val="0000FF"/>
      <w:u w:val="single"/>
    </w:rPr>
  </w:style>
  <w:style w:type="character" w:customStyle="1" w:styleId="text-nowrap">
    <w:name w:val="text-nowrap"/>
    <w:basedOn w:val="DefaultParagraphFont"/>
    <w:rsid w:val="00E20B30"/>
  </w:style>
  <w:style w:type="character" w:styleId="Strong">
    <w:name w:val="Strong"/>
    <w:basedOn w:val="DefaultParagraphFont"/>
    <w:uiPriority w:val="22"/>
    <w:qFormat/>
    <w:rsid w:val="00E20B30"/>
    <w:rPr>
      <w:b/>
      <w:bCs/>
    </w:rPr>
  </w:style>
  <w:style w:type="character" w:styleId="Emphasis">
    <w:name w:val="Emphasis"/>
    <w:basedOn w:val="DefaultParagraphFont"/>
    <w:uiPriority w:val="20"/>
    <w:qFormat/>
    <w:rsid w:val="00E20B30"/>
    <w:rPr>
      <w:i/>
      <w:iCs/>
    </w:rPr>
  </w:style>
  <w:style w:type="paragraph" w:styleId="NormalWeb">
    <w:name w:val="Normal (Web)"/>
    <w:basedOn w:val="Normal"/>
    <w:uiPriority w:val="99"/>
    <w:unhideWhenUsed/>
    <w:rsid w:val="00BC4AD4"/>
    <w:pPr>
      <w:spacing w:before="100" w:beforeAutospacing="1" w:after="100" w:afterAutospacing="1" w:line="240" w:lineRule="auto"/>
    </w:pPr>
    <w:rPr>
      <w:rFonts w:eastAsia="Times New Roman" w:cs="Times New Roman"/>
      <w:szCs w:val="24"/>
    </w:rPr>
  </w:style>
  <w:style w:type="paragraph" w:styleId="Bibliography">
    <w:name w:val="Bibliography"/>
    <w:basedOn w:val="Normal"/>
    <w:next w:val="Normal"/>
    <w:uiPriority w:val="37"/>
    <w:unhideWhenUsed/>
    <w:rsid w:val="00CC4D37"/>
    <w:pPr>
      <w:spacing w:after="0" w:line="480" w:lineRule="auto"/>
      <w:ind w:left="720" w:hanging="720"/>
    </w:pPr>
  </w:style>
  <w:style w:type="paragraph" w:styleId="Header">
    <w:name w:val="header"/>
    <w:basedOn w:val="Normal"/>
    <w:link w:val="HeaderChar"/>
    <w:uiPriority w:val="99"/>
    <w:unhideWhenUsed/>
    <w:rsid w:val="00CC4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D37"/>
    <w:rPr>
      <w:rFonts w:ascii="Times New Roman" w:hAnsi="Times New Roman"/>
      <w:sz w:val="24"/>
    </w:rPr>
  </w:style>
  <w:style w:type="paragraph" w:styleId="Footer">
    <w:name w:val="footer"/>
    <w:basedOn w:val="Normal"/>
    <w:link w:val="FooterChar"/>
    <w:uiPriority w:val="99"/>
    <w:unhideWhenUsed/>
    <w:rsid w:val="00CC4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D37"/>
    <w:rPr>
      <w:rFonts w:ascii="Times New Roman" w:hAnsi="Times New Roman"/>
      <w:sz w:val="24"/>
    </w:rPr>
  </w:style>
  <w:style w:type="character" w:styleId="CommentReference">
    <w:name w:val="annotation reference"/>
    <w:basedOn w:val="DefaultParagraphFont"/>
    <w:uiPriority w:val="99"/>
    <w:semiHidden/>
    <w:unhideWhenUsed/>
    <w:rsid w:val="00A83551"/>
    <w:rPr>
      <w:sz w:val="16"/>
      <w:szCs w:val="16"/>
    </w:rPr>
  </w:style>
  <w:style w:type="paragraph" w:styleId="CommentText">
    <w:name w:val="annotation text"/>
    <w:basedOn w:val="Normal"/>
    <w:link w:val="CommentTextChar"/>
    <w:uiPriority w:val="99"/>
    <w:unhideWhenUsed/>
    <w:rsid w:val="00A83551"/>
    <w:pPr>
      <w:spacing w:line="240" w:lineRule="auto"/>
    </w:pPr>
    <w:rPr>
      <w:sz w:val="20"/>
      <w:szCs w:val="20"/>
    </w:rPr>
  </w:style>
  <w:style w:type="character" w:customStyle="1" w:styleId="CommentTextChar">
    <w:name w:val="Comment Text Char"/>
    <w:basedOn w:val="DefaultParagraphFont"/>
    <w:link w:val="CommentText"/>
    <w:uiPriority w:val="99"/>
    <w:rsid w:val="00A8355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3551"/>
    <w:rPr>
      <w:b/>
      <w:bCs/>
    </w:rPr>
  </w:style>
  <w:style w:type="character" w:customStyle="1" w:styleId="CommentSubjectChar">
    <w:name w:val="Comment Subject Char"/>
    <w:basedOn w:val="CommentTextChar"/>
    <w:link w:val="CommentSubject"/>
    <w:uiPriority w:val="99"/>
    <w:semiHidden/>
    <w:rsid w:val="00A83551"/>
    <w:rPr>
      <w:rFonts w:ascii="Times New Roman" w:hAnsi="Times New Roman"/>
      <w:b/>
      <w:bCs/>
      <w:sz w:val="20"/>
      <w:szCs w:val="20"/>
    </w:rPr>
  </w:style>
  <w:style w:type="paragraph" w:styleId="BalloonText">
    <w:name w:val="Balloon Text"/>
    <w:basedOn w:val="Normal"/>
    <w:link w:val="BalloonTextChar"/>
    <w:uiPriority w:val="99"/>
    <w:semiHidden/>
    <w:unhideWhenUsed/>
    <w:rsid w:val="00C13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9993">
      <w:bodyDiv w:val="1"/>
      <w:marLeft w:val="0"/>
      <w:marRight w:val="0"/>
      <w:marTop w:val="0"/>
      <w:marBottom w:val="0"/>
      <w:divBdr>
        <w:top w:val="none" w:sz="0" w:space="0" w:color="auto"/>
        <w:left w:val="none" w:sz="0" w:space="0" w:color="auto"/>
        <w:bottom w:val="none" w:sz="0" w:space="0" w:color="auto"/>
        <w:right w:val="none" w:sz="0" w:space="0" w:color="auto"/>
      </w:divBdr>
      <w:divsChild>
        <w:div w:id="158009408">
          <w:marLeft w:val="0"/>
          <w:marRight w:val="0"/>
          <w:marTop w:val="120"/>
          <w:marBottom w:val="120"/>
          <w:divBdr>
            <w:top w:val="none" w:sz="0" w:space="0" w:color="auto"/>
            <w:left w:val="none" w:sz="0" w:space="0" w:color="auto"/>
            <w:bottom w:val="none" w:sz="0" w:space="0" w:color="auto"/>
            <w:right w:val="none" w:sz="0" w:space="0" w:color="auto"/>
          </w:divBdr>
        </w:div>
      </w:divsChild>
    </w:div>
    <w:div w:id="166675356">
      <w:bodyDiv w:val="1"/>
      <w:marLeft w:val="0"/>
      <w:marRight w:val="0"/>
      <w:marTop w:val="0"/>
      <w:marBottom w:val="0"/>
      <w:divBdr>
        <w:top w:val="none" w:sz="0" w:space="0" w:color="auto"/>
        <w:left w:val="none" w:sz="0" w:space="0" w:color="auto"/>
        <w:bottom w:val="none" w:sz="0" w:space="0" w:color="auto"/>
        <w:right w:val="none" w:sz="0" w:space="0" w:color="auto"/>
      </w:divBdr>
      <w:divsChild>
        <w:div w:id="1928004110">
          <w:marLeft w:val="0"/>
          <w:marRight w:val="0"/>
          <w:marTop w:val="120"/>
          <w:marBottom w:val="120"/>
          <w:divBdr>
            <w:top w:val="none" w:sz="0" w:space="0" w:color="auto"/>
            <w:left w:val="none" w:sz="0" w:space="0" w:color="auto"/>
            <w:bottom w:val="none" w:sz="0" w:space="0" w:color="auto"/>
            <w:right w:val="none" w:sz="0" w:space="0" w:color="auto"/>
          </w:divBdr>
        </w:div>
        <w:div w:id="1676615792">
          <w:marLeft w:val="0"/>
          <w:marRight w:val="0"/>
          <w:marTop w:val="120"/>
          <w:marBottom w:val="120"/>
          <w:divBdr>
            <w:top w:val="none" w:sz="0" w:space="0" w:color="auto"/>
            <w:left w:val="none" w:sz="0" w:space="0" w:color="auto"/>
            <w:bottom w:val="none" w:sz="0" w:space="0" w:color="auto"/>
            <w:right w:val="none" w:sz="0" w:space="0" w:color="auto"/>
          </w:divBdr>
        </w:div>
        <w:div w:id="154686348">
          <w:marLeft w:val="0"/>
          <w:marRight w:val="0"/>
          <w:marTop w:val="120"/>
          <w:marBottom w:val="120"/>
          <w:divBdr>
            <w:top w:val="none" w:sz="0" w:space="0" w:color="auto"/>
            <w:left w:val="none" w:sz="0" w:space="0" w:color="auto"/>
            <w:bottom w:val="none" w:sz="0" w:space="0" w:color="auto"/>
            <w:right w:val="none" w:sz="0" w:space="0" w:color="auto"/>
          </w:divBdr>
        </w:div>
        <w:div w:id="851182088">
          <w:marLeft w:val="0"/>
          <w:marRight w:val="0"/>
          <w:marTop w:val="120"/>
          <w:marBottom w:val="120"/>
          <w:divBdr>
            <w:top w:val="none" w:sz="0" w:space="0" w:color="auto"/>
            <w:left w:val="none" w:sz="0" w:space="0" w:color="auto"/>
            <w:bottom w:val="none" w:sz="0" w:space="0" w:color="auto"/>
            <w:right w:val="none" w:sz="0" w:space="0" w:color="auto"/>
          </w:divBdr>
        </w:div>
        <w:div w:id="1769351372">
          <w:marLeft w:val="0"/>
          <w:marRight w:val="0"/>
          <w:marTop w:val="120"/>
          <w:marBottom w:val="120"/>
          <w:divBdr>
            <w:top w:val="none" w:sz="0" w:space="0" w:color="auto"/>
            <w:left w:val="none" w:sz="0" w:space="0" w:color="auto"/>
            <w:bottom w:val="none" w:sz="0" w:space="0" w:color="auto"/>
            <w:right w:val="none" w:sz="0" w:space="0" w:color="auto"/>
          </w:divBdr>
        </w:div>
        <w:div w:id="717632275">
          <w:marLeft w:val="0"/>
          <w:marRight w:val="0"/>
          <w:marTop w:val="120"/>
          <w:marBottom w:val="120"/>
          <w:divBdr>
            <w:top w:val="none" w:sz="0" w:space="0" w:color="auto"/>
            <w:left w:val="none" w:sz="0" w:space="0" w:color="auto"/>
            <w:bottom w:val="none" w:sz="0" w:space="0" w:color="auto"/>
            <w:right w:val="none" w:sz="0" w:space="0" w:color="auto"/>
          </w:divBdr>
        </w:div>
      </w:divsChild>
    </w:div>
    <w:div w:id="360933181">
      <w:bodyDiv w:val="1"/>
      <w:marLeft w:val="0"/>
      <w:marRight w:val="0"/>
      <w:marTop w:val="0"/>
      <w:marBottom w:val="0"/>
      <w:divBdr>
        <w:top w:val="none" w:sz="0" w:space="0" w:color="auto"/>
        <w:left w:val="none" w:sz="0" w:space="0" w:color="auto"/>
        <w:bottom w:val="none" w:sz="0" w:space="0" w:color="auto"/>
        <w:right w:val="none" w:sz="0" w:space="0" w:color="auto"/>
      </w:divBdr>
      <w:divsChild>
        <w:div w:id="1515731232">
          <w:marLeft w:val="0"/>
          <w:marRight w:val="0"/>
          <w:marTop w:val="120"/>
          <w:marBottom w:val="120"/>
          <w:divBdr>
            <w:top w:val="none" w:sz="0" w:space="0" w:color="auto"/>
            <w:left w:val="none" w:sz="0" w:space="0" w:color="auto"/>
            <w:bottom w:val="none" w:sz="0" w:space="0" w:color="auto"/>
            <w:right w:val="none" w:sz="0" w:space="0" w:color="auto"/>
          </w:divBdr>
        </w:div>
      </w:divsChild>
    </w:div>
    <w:div w:id="713043532">
      <w:bodyDiv w:val="1"/>
      <w:marLeft w:val="0"/>
      <w:marRight w:val="0"/>
      <w:marTop w:val="0"/>
      <w:marBottom w:val="0"/>
      <w:divBdr>
        <w:top w:val="none" w:sz="0" w:space="0" w:color="auto"/>
        <w:left w:val="none" w:sz="0" w:space="0" w:color="auto"/>
        <w:bottom w:val="none" w:sz="0" w:space="0" w:color="auto"/>
        <w:right w:val="none" w:sz="0" w:space="0" w:color="auto"/>
      </w:divBdr>
      <w:divsChild>
        <w:div w:id="2110808161">
          <w:marLeft w:val="0"/>
          <w:marRight w:val="0"/>
          <w:marTop w:val="120"/>
          <w:marBottom w:val="120"/>
          <w:divBdr>
            <w:top w:val="none" w:sz="0" w:space="0" w:color="auto"/>
            <w:left w:val="none" w:sz="0" w:space="0" w:color="auto"/>
            <w:bottom w:val="none" w:sz="0" w:space="0" w:color="auto"/>
            <w:right w:val="none" w:sz="0" w:space="0" w:color="auto"/>
          </w:divBdr>
        </w:div>
        <w:div w:id="382754720">
          <w:marLeft w:val="0"/>
          <w:marRight w:val="0"/>
          <w:marTop w:val="120"/>
          <w:marBottom w:val="120"/>
          <w:divBdr>
            <w:top w:val="none" w:sz="0" w:space="0" w:color="auto"/>
            <w:left w:val="none" w:sz="0" w:space="0" w:color="auto"/>
            <w:bottom w:val="none" w:sz="0" w:space="0" w:color="auto"/>
            <w:right w:val="none" w:sz="0" w:space="0" w:color="auto"/>
          </w:divBdr>
        </w:div>
      </w:divsChild>
    </w:div>
    <w:div w:id="926304200">
      <w:bodyDiv w:val="1"/>
      <w:marLeft w:val="0"/>
      <w:marRight w:val="0"/>
      <w:marTop w:val="0"/>
      <w:marBottom w:val="0"/>
      <w:divBdr>
        <w:top w:val="none" w:sz="0" w:space="0" w:color="auto"/>
        <w:left w:val="none" w:sz="0" w:space="0" w:color="auto"/>
        <w:bottom w:val="none" w:sz="0" w:space="0" w:color="auto"/>
        <w:right w:val="none" w:sz="0" w:space="0" w:color="auto"/>
      </w:divBdr>
      <w:divsChild>
        <w:div w:id="1626504498">
          <w:marLeft w:val="0"/>
          <w:marRight w:val="0"/>
          <w:marTop w:val="120"/>
          <w:marBottom w:val="120"/>
          <w:divBdr>
            <w:top w:val="none" w:sz="0" w:space="0" w:color="auto"/>
            <w:left w:val="none" w:sz="0" w:space="0" w:color="auto"/>
            <w:bottom w:val="none" w:sz="0" w:space="0" w:color="auto"/>
            <w:right w:val="none" w:sz="0" w:space="0" w:color="auto"/>
          </w:divBdr>
        </w:div>
        <w:div w:id="510484661">
          <w:marLeft w:val="0"/>
          <w:marRight w:val="0"/>
          <w:marTop w:val="120"/>
          <w:marBottom w:val="120"/>
          <w:divBdr>
            <w:top w:val="none" w:sz="0" w:space="0" w:color="auto"/>
            <w:left w:val="none" w:sz="0" w:space="0" w:color="auto"/>
            <w:bottom w:val="none" w:sz="0" w:space="0" w:color="auto"/>
            <w:right w:val="none" w:sz="0" w:space="0" w:color="auto"/>
          </w:divBdr>
        </w:div>
        <w:div w:id="705256520">
          <w:marLeft w:val="0"/>
          <w:marRight w:val="0"/>
          <w:marTop w:val="120"/>
          <w:marBottom w:val="120"/>
          <w:divBdr>
            <w:top w:val="none" w:sz="0" w:space="0" w:color="auto"/>
            <w:left w:val="none" w:sz="0" w:space="0" w:color="auto"/>
            <w:bottom w:val="none" w:sz="0" w:space="0" w:color="auto"/>
            <w:right w:val="none" w:sz="0" w:space="0" w:color="auto"/>
          </w:divBdr>
        </w:div>
        <w:div w:id="1603220008">
          <w:marLeft w:val="0"/>
          <w:marRight w:val="0"/>
          <w:marTop w:val="120"/>
          <w:marBottom w:val="120"/>
          <w:divBdr>
            <w:top w:val="none" w:sz="0" w:space="0" w:color="auto"/>
            <w:left w:val="none" w:sz="0" w:space="0" w:color="auto"/>
            <w:bottom w:val="none" w:sz="0" w:space="0" w:color="auto"/>
            <w:right w:val="none" w:sz="0" w:space="0" w:color="auto"/>
          </w:divBdr>
        </w:div>
        <w:div w:id="789130817">
          <w:marLeft w:val="0"/>
          <w:marRight w:val="0"/>
          <w:marTop w:val="120"/>
          <w:marBottom w:val="120"/>
          <w:divBdr>
            <w:top w:val="none" w:sz="0" w:space="0" w:color="auto"/>
            <w:left w:val="none" w:sz="0" w:space="0" w:color="auto"/>
            <w:bottom w:val="none" w:sz="0" w:space="0" w:color="auto"/>
            <w:right w:val="none" w:sz="0" w:space="0" w:color="auto"/>
          </w:divBdr>
        </w:div>
        <w:div w:id="388579517">
          <w:marLeft w:val="0"/>
          <w:marRight w:val="0"/>
          <w:marTop w:val="120"/>
          <w:marBottom w:val="120"/>
          <w:divBdr>
            <w:top w:val="none" w:sz="0" w:space="0" w:color="auto"/>
            <w:left w:val="none" w:sz="0" w:space="0" w:color="auto"/>
            <w:bottom w:val="none" w:sz="0" w:space="0" w:color="auto"/>
            <w:right w:val="none" w:sz="0" w:space="0" w:color="auto"/>
          </w:divBdr>
        </w:div>
      </w:divsChild>
    </w:div>
    <w:div w:id="1058748555">
      <w:bodyDiv w:val="1"/>
      <w:marLeft w:val="0"/>
      <w:marRight w:val="0"/>
      <w:marTop w:val="0"/>
      <w:marBottom w:val="0"/>
      <w:divBdr>
        <w:top w:val="none" w:sz="0" w:space="0" w:color="auto"/>
        <w:left w:val="none" w:sz="0" w:space="0" w:color="auto"/>
        <w:bottom w:val="none" w:sz="0" w:space="0" w:color="auto"/>
        <w:right w:val="none" w:sz="0" w:space="0" w:color="auto"/>
      </w:divBdr>
      <w:divsChild>
        <w:div w:id="54621049">
          <w:marLeft w:val="0"/>
          <w:marRight w:val="0"/>
          <w:marTop w:val="120"/>
          <w:marBottom w:val="120"/>
          <w:divBdr>
            <w:top w:val="none" w:sz="0" w:space="0" w:color="auto"/>
            <w:left w:val="none" w:sz="0" w:space="0" w:color="auto"/>
            <w:bottom w:val="none" w:sz="0" w:space="0" w:color="auto"/>
            <w:right w:val="none" w:sz="0" w:space="0" w:color="auto"/>
          </w:divBdr>
        </w:div>
        <w:div w:id="81031190">
          <w:marLeft w:val="0"/>
          <w:marRight w:val="0"/>
          <w:marTop w:val="120"/>
          <w:marBottom w:val="120"/>
          <w:divBdr>
            <w:top w:val="none" w:sz="0" w:space="0" w:color="auto"/>
            <w:left w:val="none" w:sz="0" w:space="0" w:color="auto"/>
            <w:bottom w:val="none" w:sz="0" w:space="0" w:color="auto"/>
            <w:right w:val="none" w:sz="0" w:space="0" w:color="auto"/>
          </w:divBdr>
        </w:div>
        <w:div w:id="778068947">
          <w:marLeft w:val="0"/>
          <w:marRight w:val="0"/>
          <w:marTop w:val="120"/>
          <w:marBottom w:val="120"/>
          <w:divBdr>
            <w:top w:val="none" w:sz="0" w:space="0" w:color="auto"/>
            <w:left w:val="none" w:sz="0" w:space="0" w:color="auto"/>
            <w:bottom w:val="none" w:sz="0" w:space="0" w:color="auto"/>
            <w:right w:val="none" w:sz="0" w:space="0" w:color="auto"/>
          </w:divBdr>
        </w:div>
        <w:div w:id="793208290">
          <w:marLeft w:val="0"/>
          <w:marRight w:val="0"/>
          <w:marTop w:val="120"/>
          <w:marBottom w:val="120"/>
          <w:divBdr>
            <w:top w:val="none" w:sz="0" w:space="0" w:color="auto"/>
            <w:left w:val="none" w:sz="0" w:space="0" w:color="auto"/>
            <w:bottom w:val="none" w:sz="0" w:space="0" w:color="auto"/>
            <w:right w:val="none" w:sz="0" w:space="0" w:color="auto"/>
          </w:divBdr>
        </w:div>
        <w:div w:id="916086306">
          <w:marLeft w:val="0"/>
          <w:marRight w:val="0"/>
          <w:marTop w:val="120"/>
          <w:marBottom w:val="120"/>
          <w:divBdr>
            <w:top w:val="none" w:sz="0" w:space="0" w:color="auto"/>
            <w:left w:val="none" w:sz="0" w:space="0" w:color="auto"/>
            <w:bottom w:val="none" w:sz="0" w:space="0" w:color="auto"/>
            <w:right w:val="none" w:sz="0" w:space="0" w:color="auto"/>
          </w:divBdr>
        </w:div>
        <w:div w:id="1802188575">
          <w:marLeft w:val="0"/>
          <w:marRight w:val="0"/>
          <w:marTop w:val="120"/>
          <w:marBottom w:val="120"/>
          <w:divBdr>
            <w:top w:val="none" w:sz="0" w:space="0" w:color="auto"/>
            <w:left w:val="none" w:sz="0" w:space="0" w:color="auto"/>
            <w:bottom w:val="none" w:sz="0" w:space="0" w:color="auto"/>
            <w:right w:val="none" w:sz="0" w:space="0" w:color="auto"/>
          </w:divBdr>
        </w:div>
      </w:divsChild>
    </w:div>
    <w:div w:id="1376586590">
      <w:bodyDiv w:val="1"/>
      <w:marLeft w:val="0"/>
      <w:marRight w:val="0"/>
      <w:marTop w:val="0"/>
      <w:marBottom w:val="0"/>
      <w:divBdr>
        <w:top w:val="none" w:sz="0" w:space="0" w:color="auto"/>
        <w:left w:val="none" w:sz="0" w:space="0" w:color="auto"/>
        <w:bottom w:val="none" w:sz="0" w:space="0" w:color="auto"/>
        <w:right w:val="none" w:sz="0" w:space="0" w:color="auto"/>
      </w:divBdr>
    </w:div>
    <w:div w:id="1528525930">
      <w:bodyDiv w:val="1"/>
      <w:marLeft w:val="0"/>
      <w:marRight w:val="0"/>
      <w:marTop w:val="0"/>
      <w:marBottom w:val="0"/>
      <w:divBdr>
        <w:top w:val="none" w:sz="0" w:space="0" w:color="auto"/>
        <w:left w:val="none" w:sz="0" w:space="0" w:color="auto"/>
        <w:bottom w:val="none" w:sz="0" w:space="0" w:color="auto"/>
        <w:right w:val="none" w:sz="0" w:space="0" w:color="auto"/>
      </w:divBdr>
      <w:divsChild>
        <w:div w:id="1824853176">
          <w:marLeft w:val="0"/>
          <w:marRight w:val="0"/>
          <w:marTop w:val="120"/>
          <w:marBottom w:val="120"/>
          <w:divBdr>
            <w:top w:val="none" w:sz="0" w:space="0" w:color="auto"/>
            <w:left w:val="none" w:sz="0" w:space="0" w:color="auto"/>
            <w:bottom w:val="none" w:sz="0" w:space="0" w:color="auto"/>
            <w:right w:val="none" w:sz="0" w:space="0" w:color="auto"/>
          </w:divBdr>
        </w:div>
        <w:div w:id="85348829">
          <w:marLeft w:val="0"/>
          <w:marRight w:val="0"/>
          <w:marTop w:val="120"/>
          <w:marBottom w:val="120"/>
          <w:divBdr>
            <w:top w:val="none" w:sz="0" w:space="0" w:color="auto"/>
            <w:left w:val="none" w:sz="0" w:space="0" w:color="auto"/>
            <w:bottom w:val="none" w:sz="0" w:space="0" w:color="auto"/>
            <w:right w:val="none" w:sz="0" w:space="0" w:color="auto"/>
          </w:divBdr>
        </w:div>
        <w:div w:id="901449484">
          <w:marLeft w:val="0"/>
          <w:marRight w:val="0"/>
          <w:marTop w:val="120"/>
          <w:marBottom w:val="120"/>
          <w:divBdr>
            <w:top w:val="none" w:sz="0" w:space="0" w:color="auto"/>
            <w:left w:val="none" w:sz="0" w:space="0" w:color="auto"/>
            <w:bottom w:val="none" w:sz="0" w:space="0" w:color="auto"/>
            <w:right w:val="none" w:sz="0" w:space="0" w:color="auto"/>
          </w:divBdr>
        </w:div>
        <w:div w:id="1789351743">
          <w:marLeft w:val="0"/>
          <w:marRight w:val="0"/>
          <w:marTop w:val="120"/>
          <w:marBottom w:val="120"/>
          <w:divBdr>
            <w:top w:val="none" w:sz="0" w:space="0" w:color="auto"/>
            <w:left w:val="none" w:sz="0" w:space="0" w:color="auto"/>
            <w:bottom w:val="none" w:sz="0" w:space="0" w:color="auto"/>
            <w:right w:val="none" w:sz="0" w:space="0" w:color="auto"/>
          </w:divBdr>
        </w:div>
        <w:div w:id="570428490">
          <w:marLeft w:val="0"/>
          <w:marRight w:val="0"/>
          <w:marTop w:val="120"/>
          <w:marBottom w:val="120"/>
          <w:divBdr>
            <w:top w:val="none" w:sz="0" w:space="0" w:color="auto"/>
            <w:left w:val="none" w:sz="0" w:space="0" w:color="auto"/>
            <w:bottom w:val="none" w:sz="0" w:space="0" w:color="auto"/>
            <w:right w:val="none" w:sz="0" w:space="0" w:color="auto"/>
          </w:divBdr>
        </w:div>
        <w:div w:id="57093032">
          <w:marLeft w:val="0"/>
          <w:marRight w:val="0"/>
          <w:marTop w:val="120"/>
          <w:marBottom w:val="120"/>
          <w:divBdr>
            <w:top w:val="none" w:sz="0" w:space="0" w:color="auto"/>
            <w:left w:val="none" w:sz="0" w:space="0" w:color="auto"/>
            <w:bottom w:val="none" w:sz="0" w:space="0" w:color="auto"/>
            <w:right w:val="none" w:sz="0" w:space="0" w:color="auto"/>
          </w:divBdr>
        </w:div>
      </w:divsChild>
    </w:div>
    <w:div w:id="1582904619">
      <w:bodyDiv w:val="1"/>
      <w:marLeft w:val="0"/>
      <w:marRight w:val="0"/>
      <w:marTop w:val="0"/>
      <w:marBottom w:val="0"/>
      <w:divBdr>
        <w:top w:val="none" w:sz="0" w:space="0" w:color="auto"/>
        <w:left w:val="none" w:sz="0" w:space="0" w:color="auto"/>
        <w:bottom w:val="none" w:sz="0" w:space="0" w:color="auto"/>
        <w:right w:val="none" w:sz="0" w:space="0" w:color="auto"/>
      </w:divBdr>
    </w:div>
    <w:div w:id="1726485102">
      <w:bodyDiv w:val="1"/>
      <w:marLeft w:val="0"/>
      <w:marRight w:val="0"/>
      <w:marTop w:val="0"/>
      <w:marBottom w:val="0"/>
      <w:divBdr>
        <w:top w:val="none" w:sz="0" w:space="0" w:color="auto"/>
        <w:left w:val="none" w:sz="0" w:space="0" w:color="auto"/>
        <w:bottom w:val="none" w:sz="0" w:space="0" w:color="auto"/>
        <w:right w:val="none" w:sz="0" w:space="0" w:color="auto"/>
      </w:divBdr>
      <w:divsChild>
        <w:div w:id="955520478">
          <w:marLeft w:val="0"/>
          <w:marRight w:val="0"/>
          <w:marTop w:val="120"/>
          <w:marBottom w:val="120"/>
          <w:divBdr>
            <w:top w:val="none" w:sz="0" w:space="0" w:color="auto"/>
            <w:left w:val="none" w:sz="0" w:space="0" w:color="auto"/>
            <w:bottom w:val="none" w:sz="0" w:space="0" w:color="auto"/>
            <w:right w:val="none" w:sz="0" w:space="0" w:color="auto"/>
          </w:divBdr>
        </w:div>
      </w:divsChild>
    </w:div>
    <w:div w:id="1893886111">
      <w:bodyDiv w:val="1"/>
      <w:marLeft w:val="0"/>
      <w:marRight w:val="0"/>
      <w:marTop w:val="0"/>
      <w:marBottom w:val="0"/>
      <w:divBdr>
        <w:top w:val="none" w:sz="0" w:space="0" w:color="auto"/>
        <w:left w:val="none" w:sz="0" w:space="0" w:color="auto"/>
        <w:bottom w:val="none" w:sz="0" w:space="0" w:color="auto"/>
        <w:right w:val="none" w:sz="0" w:space="0" w:color="auto"/>
      </w:divBdr>
    </w:div>
    <w:div w:id="2082755037">
      <w:bodyDiv w:val="1"/>
      <w:marLeft w:val="0"/>
      <w:marRight w:val="0"/>
      <w:marTop w:val="0"/>
      <w:marBottom w:val="0"/>
      <w:divBdr>
        <w:top w:val="none" w:sz="0" w:space="0" w:color="auto"/>
        <w:left w:val="none" w:sz="0" w:space="0" w:color="auto"/>
        <w:bottom w:val="none" w:sz="0" w:space="0" w:color="auto"/>
        <w:right w:val="none" w:sz="0" w:space="0" w:color="auto"/>
      </w:divBdr>
      <w:divsChild>
        <w:div w:id="178645856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tencingproject.org/policy-brief/americas-incarceration-crossroads-reversing-progress-amid-record-low-crime-rates/" TargetMode="External"/><Relationship Id="rId13" Type="http://schemas.openxmlformats.org/officeDocument/2006/relationships/hyperlink" Target="https://www.oregon.gov/cjc/CJC%20Document%20Library/M11Crime_Lit_Review.pdf" TargetMode="External"/><Relationship Id="rId3" Type="http://schemas.openxmlformats.org/officeDocument/2006/relationships/webSettings" Target="webSettings.xml"/><Relationship Id="rId7" Type="http://schemas.openxmlformats.org/officeDocument/2006/relationships/hyperlink" Target="https://nij.ojp.gov/topics/articles/looking-beyond-recidivism-new-research-well-being-prisons-and-jails-national" TargetMode="External"/><Relationship Id="rId12" Type="http://schemas.openxmlformats.org/officeDocument/2006/relationships/hyperlink" Target="https://search.proquest.com/openview/8ca457ad3b48470ad81aff3cbf44d754/1?pq-origsite=gscholar&amp;cbl=3022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ebtribunal.net/blog/prison-statistics/" TargetMode="External"/><Relationship Id="rId11" Type="http://schemas.openxmlformats.org/officeDocument/2006/relationships/hyperlink" Target="https://www.sentencingproject.org/reports/top-trends-in-criminal-legal-reform-2023/"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sentencingproject.org/reports/top-trends-in-criminal-legal-reform-2023/" TargetMode="External"/><Relationship Id="rId4" Type="http://schemas.openxmlformats.org/officeDocument/2006/relationships/footnotes" Target="footnotes.xml"/><Relationship Id="rId9" Type="http://schemas.openxmlformats.org/officeDocument/2006/relationships/hyperlink" Target="http://pew.org/2tszeZ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nyx</cp:lastModifiedBy>
  <cp:revision>2</cp:revision>
  <dcterms:created xsi:type="dcterms:W3CDTF">2026-05-03T18:46:00Z</dcterms:created>
  <dcterms:modified xsi:type="dcterms:W3CDTF">2026-05-03T18:46:00Z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id="NyGY3bIu"/&gt;&lt;style id="http://www.zotero.org/styles/apa" locale="en-US" hasBibliography="1" bibliographyStyleHasBeenSet="1"/&gt;&lt;prefs&gt;&lt;pref name="fieldType" value="Field"/&gt;&lt;/prefs&gt;&lt;/data&gt;</vt:lpwstr>
  </property>
</Properties>
</file>